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23" w:rsidRPr="003B2ADF" w:rsidRDefault="009D1323" w:rsidP="009D1323">
      <w:pPr>
        <w:spacing w:line="440" w:lineRule="exact"/>
        <w:jc w:val="left"/>
        <w:rPr>
          <w:rFonts w:ascii="宋体" w:eastAsia="宋体" w:hAnsi="宋体" w:cs="Times New Roman"/>
          <w:sz w:val="36"/>
          <w:szCs w:val="42"/>
        </w:rPr>
      </w:pPr>
      <w:bookmarkStart w:id="0" w:name="_GoBack"/>
      <w:r w:rsidRPr="003B2ADF">
        <w:rPr>
          <w:rFonts w:ascii="宋体" w:eastAsia="宋体" w:hAnsi="宋体" w:cs="Times New Roman" w:hint="eastAsia"/>
          <w:sz w:val="36"/>
          <w:szCs w:val="42"/>
        </w:rPr>
        <w:t>附件</w:t>
      </w:r>
      <w:r w:rsidR="00CB59B9" w:rsidRPr="003B2ADF">
        <w:rPr>
          <w:rFonts w:ascii="宋体" w:eastAsia="宋体" w:hAnsi="宋体" w:cs="Times New Roman"/>
          <w:sz w:val="36"/>
          <w:szCs w:val="42"/>
        </w:rPr>
        <w:t>4</w:t>
      </w:r>
      <w:r w:rsidR="00B37D1B" w:rsidRPr="003B2ADF">
        <w:rPr>
          <w:rFonts w:ascii="宋体" w:eastAsia="宋体" w:hAnsi="宋体" w:cs="Times New Roman" w:hint="eastAsia"/>
          <w:sz w:val="36"/>
          <w:szCs w:val="42"/>
        </w:rPr>
        <w:t>3</w:t>
      </w:r>
    </w:p>
    <w:p w:rsidR="009D1323" w:rsidRPr="003B2ADF" w:rsidRDefault="009D1323" w:rsidP="009D1323">
      <w:pPr>
        <w:spacing w:line="4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3B2ADF">
        <w:rPr>
          <w:rFonts w:ascii="宋体" w:eastAsia="宋体" w:hAnsi="宋体" w:cs="Times New Roman" w:hint="eastAsia"/>
          <w:sz w:val="42"/>
          <w:szCs w:val="42"/>
        </w:rPr>
        <w:t>上海期货交易所热轧卷板期货合约</w:t>
      </w:r>
    </w:p>
    <w:p w:rsidR="009D1323" w:rsidRPr="003B2ADF" w:rsidRDefault="009D1323" w:rsidP="009D1323">
      <w:pPr>
        <w:spacing w:line="44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3B2ADF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6275"/>
      </w:tblGrid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热轧卷板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3:00和交易所规定的其他交易时间。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标准品：符合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GB/T 3274-2017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《碳素结构钢和低合金结构钢热轧厚钢板和钢带》的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Q235B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或符合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JIS G 3101-2015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《一般结构用轧制钢材》的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SS400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，厚度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5.75mm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、宽度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1500mm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热轧卷板。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替代品：符合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GB/T 3274-2017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《碳素结构钢和低合金结构钢热轧厚钢板和钢带》的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Q235B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或符合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JIS G 3101-2015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《一般结构用轧制钢材》的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SS400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，厚度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9.75mm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9.5mm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7.75mm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7.5mm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5.50mm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4.75mm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4.50mm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3.75mm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3.50mm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，宽度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1500mm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热轧卷板。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3B2ADF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</w:t>
            </w:r>
            <w:r w:rsidRPr="003B2ADF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仓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库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300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HC</w:t>
            </w:r>
          </w:p>
        </w:tc>
      </w:tr>
      <w:tr w:rsidR="009D1323" w:rsidRPr="003B2ADF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3B2ADF" w:rsidRDefault="009D1323" w:rsidP="009D1323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9D1323" w:rsidRPr="003B2ADF" w:rsidRDefault="009D1323" w:rsidP="00C9340A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3B2ADF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上海期货交易所热轧卷板期货合约附件</w:t>
      </w:r>
    </w:p>
    <w:p w:rsidR="009D1323" w:rsidRPr="003B2ADF" w:rsidRDefault="009D1323" w:rsidP="00C9340A">
      <w:pPr>
        <w:widowControl/>
        <w:spacing w:line="560" w:lineRule="exact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sz w:val="30"/>
          <w:szCs w:val="30"/>
        </w:rPr>
        <w:t>热轧卷板期货合约的交易单位为每手10吨，交割单位为每一</w:t>
      </w:r>
      <w:r w:rsidRPr="003B2ADF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3B2ADF">
        <w:rPr>
          <w:rFonts w:ascii="宋体" w:eastAsia="宋体" w:hAnsi="宋体" w:cs="Times New Roman"/>
          <w:sz w:val="30"/>
          <w:szCs w:val="30"/>
        </w:rPr>
        <w:t>仓单300吨，交割应当以每一</w:t>
      </w:r>
      <w:r w:rsidRPr="003B2ADF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3B2ADF">
        <w:rPr>
          <w:rFonts w:ascii="宋体" w:eastAsia="宋体" w:hAnsi="宋体" w:cs="Times New Roman"/>
          <w:sz w:val="30"/>
          <w:szCs w:val="30"/>
        </w:rPr>
        <w:t>仓单的整数倍交割。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sz w:val="30"/>
          <w:szCs w:val="30"/>
        </w:rPr>
        <w:t>（一）用于本合约实物交割的热轧卷板质量规定如下：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sz w:val="30"/>
          <w:szCs w:val="30"/>
        </w:rPr>
        <w:t>1</w:t>
      </w:r>
      <w:r w:rsidRPr="003B2ADF">
        <w:rPr>
          <w:rFonts w:ascii="宋体" w:eastAsia="宋体" w:hAnsi="宋体" w:cs="Times New Roman" w:hint="eastAsia"/>
          <w:sz w:val="30"/>
          <w:szCs w:val="30"/>
        </w:rPr>
        <w:t>、标准品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符合国标</w:t>
      </w:r>
      <w:r w:rsidRPr="003B2ADF">
        <w:rPr>
          <w:rFonts w:ascii="宋体" w:eastAsia="宋体" w:hAnsi="宋体" w:cs="Times New Roman"/>
          <w:sz w:val="30"/>
          <w:szCs w:val="30"/>
        </w:rPr>
        <w:t>GB/T 3274-2017</w:t>
      </w:r>
      <w:r w:rsidRPr="003B2ADF">
        <w:rPr>
          <w:rFonts w:ascii="宋体" w:eastAsia="宋体" w:hAnsi="宋体" w:cs="Times New Roman" w:hint="eastAsia"/>
          <w:sz w:val="30"/>
          <w:szCs w:val="30"/>
        </w:rPr>
        <w:t>《碳素结构钢和低合金结构钢热轧厚钢板和钢带》的</w:t>
      </w:r>
      <w:r w:rsidRPr="003B2ADF">
        <w:rPr>
          <w:rFonts w:ascii="宋体" w:eastAsia="宋体" w:hAnsi="宋体" w:cs="Times New Roman"/>
          <w:sz w:val="30"/>
          <w:szCs w:val="30"/>
        </w:rPr>
        <w:t>Q235B</w:t>
      </w:r>
      <w:r w:rsidRPr="003B2ADF">
        <w:rPr>
          <w:rFonts w:ascii="宋体" w:eastAsia="宋体" w:hAnsi="宋体" w:cs="Times New Roman" w:hint="eastAsia"/>
          <w:sz w:val="30"/>
          <w:szCs w:val="30"/>
        </w:rPr>
        <w:t>或符合</w:t>
      </w:r>
      <w:r w:rsidRPr="003B2ADF">
        <w:rPr>
          <w:rFonts w:ascii="宋体" w:eastAsia="宋体" w:hAnsi="宋体" w:cs="Times New Roman"/>
          <w:sz w:val="30"/>
          <w:szCs w:val="30"/>
        </w:rPr>
        <w:t>JIS G 3101-2015</w:t>
      </w:r>
      <w:r w:rsidRPr="003B2ADF">
        <w:rPr>
          <w:rFonts w:ascii="宋体" w:eastAsia="宋体" w:hAnsi="宋体" w:cs="Times New Roman" w:hint="eastAsia"/>
          <w:sz w:val="30"/>
          <w:szCs w:val="30"/>
        </w:rPr>
        <w:t>《一般结构用轧制钢材》的</w:t>
      </w:r>
      <w:r w:rsidRPr="003B2ADF">
        <w:rPr>
          <w:rFonts w:ascii="宋体" w:eastAsia="宋体" w:hAnsi="宋体" w:cs="Times New Roman"/>
          <w:sz w:val="30"/>
          <w:szCs w:val="30"/>
        </w:rPr>
        <w:t>SS400</w:t>
      </w:r>
      <w:r w:rsidRPr="003B2ADF">
        <w:rPr>
          <w:rFonts w:ascii="宋体" w:eastAsia="宋体" w:hAnsi="宋体" w:cs="Times New Roman" w:hint="eastAsia"/>
          <w:sz w:val="30"/>
          <w:szCs w:val="30"/>
        </w:rPr>
        <w:t>，厚度</w:t>
      </w:r>
      <w:r w:rsidRPr="003B2ADF">
        <w:rPr>
          <w:rFonts w:ascii="宋体" w:eastAsia="宋体" w:hAnsi="宋体" w:cs="Times New Roman"/>
          <w:sz w:val="30"/>
          <w:szCs w:val="30"/>
        </w:rPr>
        <w:t>5.75mm</w:t>
      </w:r>
      <w:r w:rsidRPr="003B2ADF">
        <w:rPr>
          <w:rFonts w:ascii="宋体" w:eastAsia="宋体" w:hAnsi="宋体" w:cs="Times New Roman" w:hint="eastAsia"/>
          <w:sz w:val="30"/>
          <w:szCs w:val="30"/>
        </w:rPr>
        <w:t>、宽度</w:t>
      </w:r>
      <w:r w:rsidRPr="003B2ADF">
        <w:rPr>
          <w:rFonts w:ascii="宋体" w:eastAsia="宋体" w:hAnsi="宋体" w:cs="Times New Roman"/>
          <w:sz w:val="30"/>
          <w:szCs w:val="30"/>
        </w:rPr>
        <w:t>1500mm</w:t>
      </w:r>
      <w:r w:rsidRPr="003B2ADF">
        <w:rPr>
          <w:rFonts w:ascii="宋体" w:eastAsia="宋体" w:hAnsi="宋体" w:cs="Times New Roman" w:hint="eastAsia"/>
          <w:sz w:val="30"/>
          <w:szCs w:val="30"/>
        </w:rPr>
        <w:t>热轧卷板。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sz w:val="30"/>
          <w:szCs w:val="30"/>
        </w:rPr>
        <w:t>2</w:t>
      </w:r>
      <w:r w:rsidRPr="003B2ADF">
        <w:rPr>
          <w:rFonts w:ascii="宋体" w:eastAsia="宋体" w:hAnsi="宋体" w:cs="Times New Roman" w:hint="eastAsia"/>
          <w:sz w:val="30"/>
          <w:szCs w:val="30"/>
        </w:rPr>
        <w:t>、替代品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符合国标</w:t>
      </w:r>
      <w:r w:rsidRPr="003B2ADF">
        <w:rPr>
          <w:rFonts w:ascii="宋体" w:eastAsia="宋体" w:hAnsi="宋体" w:cs="Times New Roman"/>
          <w:sz w:val="30"/>
          <w:szCs w:val="30"/>
        </w:rPr>
        <w:t>GB/T 3274-2017</w:t>
      </w:r>
      <w:r w:rsidRPr="003B2ADF">
        <w:rPr>
          <w:rFonts w:ascii="宋体" w:eastAsia="宋体" w:hAnsi="宋体" w:cs="Times New Roman" w:hint="eastAsia"/>
          <w:sz w:val="30"/>
          <w:szCs w:val="30"/>
        </w:rPr>
        <w:t>《碳素结构钢和低合金结构钢热轧厚钢板和钢带》的</w:t>
      </w:r>
      <w:r w:rsidRPr="003B2ADF">
        <w:rPr>
          <w:rFonts w:ascii="宋体" w:eastAsia="宋体" w:hAnsi="宋体" w:cs="Times New Roman"/>
          <w:sz w:val="30"/>
          <w:szCs w:val="30"/>
        </w:rPr>
        <w:t>Q235B</w:t>
      </w:r>
      <w:r w:rsidRPr="003B2ADF">
        <w:rPr>
          <w:rFonts w:ascii="宋体" w:eastAsia="宋体" w:hAnsi="宋体" w:cs="Times New Roman" w:hint="eastAsia"/>
          <w:sz w:val="30"/>
          <w:szCs w:val="30"/>
        </w:rPr>
        <w:t>或符合</w:t>
      </w:r>
      <w:r w:rsidRPr="003B2ADF">
        <w:rPr>
          <w:rFonts w:ascii="宋体" w:eastAsia="宋体" w:hAnsi="宋体" w:cs="Times New Roman"/>
          <w:sz w:val="30"/>
          <w:szCs w:val="30"/>
        </w:rPr>
        <w:t>JIS G 3101-2015</w:t>
      </w:r>
      <w:r w:rsidRPr="003B2ADF">
        <w:rPr>
          <w:rFonts w:ascii="宋体" w:eastAsia="宋体" w:hAnsi="宋体" w:cs="Times New Roman" w:hint="eastAsia"/>
          <w:sz w:val="30"/>
          <w:szCs w:val="30"/>
        </w:rPr>
        <w:t>《一般结构用轧制钢材》的</w:t>
      </w:r>
      <w:r w:rsidRPr="003B2ADF">
        <w:rPr>
          <w:rFonts w:ascii="宋体" w:eastAsia="宋体" w:hAnsi="宋体" w:cs="Times New Roman"/>
          <w:sz w:val="30"/>
          <w:szCs w:val="30"/>
        </w:rPr>
        <w:t>SS400</w:t>
      </w:r>
      <w:r w:rsidRPr="003B2ADF">
        <w:rPr>
          <w:rFonts w:ascii="宋体" w:eastAsia="宋体" w:hAnsi="宋体" w:cs="Times New Roman" w:hint="eastAsia"/>
          <w:sz w:val="30"/>
          <w:szCs w:val="30"/>
        </w:rPr>
        <w:t>，厚度</w:t>
      </w:r>
      <w:r w:rsidRPr="003B2ADF">
        <w:rPr>
          <w:rFonts w:ascii="宋体" w:eastAsia="宋体" w:hAnsi="宋体" w:cs="Times New Roman"/>
          <w:sz w:val="30"/>
          <w:szCs w:val="30"/>
        </w:rPr>
        <w:t>9.75mm</w:t>
      </w:r>
      <w:r w:rsidRPr="003B2ADF">
        <w:rPr>
          <w:rFonts w:ascii="宋体" w:eastAsia="宋体" w:hAnsi="宋体" w:cs="Times New Roman" w:hint="eastAsia"/>
          <w:sz w:val="30"/>
          <w:szCs w:val="30"/>
        </w:rPr>
        <w:t>、</w:t>
      </w:r>
      <w:r w:rsidRPr="003B2ADF">
        <w:rPr>
          <w:rFonts w:ascii="宋体" w:eastAsia="宋体" w:hAnsi="宋体" w:cs="Times New Roman"/>
          <w:sz w:val="30"/>
          <w:szCs w:val="30"/>
        </w:rPr>
        <w:t>9.5mm</w:t>
      </w:r>
      <w:r w:rsidRPr="003B2ADF">
        <w:rPr>
          <w:rFonts w:ascii="宋体" w:eastAsia="宋体" w:hAnsi="宋体" w:cs="Times New Roman" w:hint="eastAsia"/>
          <w:sz w:val="30"/>
          <w:szCs w:val="30"/>
        </w:rPr>
        <w:t>、</w:t>
      </w:r>
      <w:r w:rsidRPr="003B2ADF">
        <w:rPr>
          <w:rFonts w:ascii="宋体" w:eastAsia="宋体" w:hAnsi="宋体" w:cs="Times New Roman"/>
          <w:sz w:val="30"/>
          <w:szCs w:val="30"/>
        </w:rPr>
        <w:t>7.75mm</w:t>
      </w:r>
      <w:r w:rsidRPr="003B2ADF">
        <w:rPr>
          <w:rFonts w:ascii="宋体" w:eastAsia="宋体" w:hAnsi="宋体" w:cs="Times New Roman" w:hint="eastAsia"/>
          <w:sz w:val="30"/>
          <w:szCs w:val="30"/>
        </w:rPr>
        <w:t>、</w:t>
      </w:r>
      <w:r w:rsidRPr="003B2ADF">
        <w:rPr>
          <w:rFonts w:ascii="宋体" w:eastAsia="宋体" w:hAnsi="宋体" w:cs="Times New Roman"/>
          <w:sz w:val="30"/>
          <w:szCs w:val="30"/>
        </w:rPr>
        <w:t>7.5mm</w:t>
      </w:r>
      <w:r w:rsidRPr="003B2ADF">
        <w:rPr>
          <w:rFonts w:ascii="宋体" w:eastAsia="宋体" w:hAnsi="宋体" w:cs="Times New Roman" w:hint="eastAsia"/>
          <w:sz w:val="30"/>
          <w:szCs w:val="30"/>
        </w:rPr>
        <w:t>、</w:t>
      </w:r>
      <w:r w:rsidRPr="003B2ADF">
        <w:rPr>
          <w:rFonts w:ascii="宋体" w:eastAsia="宋体" w:hAnsi="宋体" w:cs="Times New Roman"/>
          <w:sz w:val="30"/>
          <w:szCs w:val="30"/>
        </w:rPr>
        <w:t>5.50mm</w:t>
      </w:r>
      <w:r w:rsidRPr="003B2ADF">
        <w:rPr>
          <w:rFonts w:ascii="宋体" w:eastAsia="宋体" w:hAnsi="宋体" w:cs="Times New Roman" w:hint="eastAsia"/>
          <w:sz w:val="30"/>
          <w:szCs w:val="30"/>
        </w:rPr>
        <w:t>、</w:t>
      </w:r>
      <w:r w:rsidRPr="003B2ADF">
        <w:rPr>
          <w:rFonts w:ascii="宋体" w:eastAsia="宋体" w:hAnsi="宋体" w:cs="Times New Roman"/>
          <w:sz w:val="30"/>
          <w:szCs w:val="30"/>
        </w:rPr>
        <w:t>4.75mm</w:t>
      </w:r>
      <w:r w:rsidRPr="003B2ADF">
        <w:rPr>
          <w:rFonts w:ascii="宋体" w:eastAsia="宋体" w:hAnsi="宋体" w:cs="Times New Roman" w:hint="eastAsia"/>
          <w:sz w:val="30"/>
          <w:szCs w:val="30"/>
        </w:rPr>
        <w:t>、</w:t>
      </w:r>
      <w:r w:rsidRPr="003B2ADF">
        <w:rPr>
          <w:rFonts w:ascii="宋体" w:eastAsia="宋体" w:hAnsi="宋体" w:cs="Times New Roman"/>
          <w:sz w:val="30"/>
          <w:szCs w:val="30"/>
        </w:rPr>
        <w:t>4.50mm</w:t>
      </w:r>
      <w:r w:rsidRPr="003B2ADF">
        <w:rPr>
          <w:rFonts w:ascii="宋体" w:eastAsia="宋体" w:hAnsi="宋体" w:cs="Times New Roman" w:hint="eastAsia"/>
          <w:sz w:val="30"/>
          <w:szCs w:val="30"/>
        </w:rPr>
        <w:t>、</w:t>
      </w:r>
      <w:r w:rsidRPr="003B2ADF">
        <w:rPr>
          <w:rFonts w:ascii="宋体" w:eastAsia="宋体" w:hAnsi="宋体" w:cs="Times New Roman"/>
          <w:sz w:val="30"/>
          <w:szCs w:val="30"/>
        </w:rPr>
        <w:t>3.75mm</w:t>
      </w:r>
      <w:r w:rsidRPr="003B2ADF">
        <w:rPr>
          <w:rFonts w:ascii="宋体" w:eastAsia="宋体" w:hAnsi="宋体" w:cs="Times New Roman" w:hint="eastAsia"/>
          <w:sz w:val="30"/>
          <w:szCs w:val="30"/>
        </w:rPr>
        <w:t>、</w:t>
      </w:r>
      <w:r w:rsidRPr="003B2ADF">
        <w:rPr>
          <w:rFonts w:ascii="宋体" w:eastAsia="宋体" w:hAnsi="宋体" w:cs="Times New Roman"/>
          <w:sz w:val="30"/>
          <w:szCs w:val="30"/>
        </w:rPr>
        <w:t>3.50mm</w:t>
      </w:r>
      <w:r w:rsidRPr="003B2ADF">
        <w:rPr>
          <w:rFonts w:ascii="宋体" w:eastAsia="宋体" w:hAnsi="宋体" w:cs="Times New Roman" w:hint="eastAsia"/>
          <w:sz w:val="30"/>
          <w:szCs w:val="30"/>
        </w:rPr>
        <w:t>，宽度</w:t>
      </w:r>
      <w:r w:rsidRPr="003B2ADF">
        <w:rPr>
          <w:rFonts w:ascii="宋体" w:eastAsia="宋体" w:hAnsi="宋体" w:cs="Times New Roman"/>
          <w:sz w:val="30"/>
          <w:szCs w:val="30"/>
        </w:rPr>
        <w:t>1500mm</w:t>
      </w:r>
      <w:r w:rsidRPr="003B2ADF">
        <w:rPr>
          <w:rFonts w:ascii="宋体" w:eastAsia="宋体" w:hAnsi="宋体" w:cs="Times New Roman" w:hint="eastAsia"/>
          <w:sz w:val="30"/>
          <w:szCs w:val="30"/>
        </w:rPr>
        <w:t>热轧卷板。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（二）《上海期货交易所</w:t>
      </w:r>
      <w:r w:rsidRPr="003B2ADF">
        <w:rPr>
          <w:rFonts w:ascii="宋体" w:eastAsia="宋体" w:hAnsi="宋体" w:cs="Times New Roman" w:hint="eastAsia"/>
          <w:b/>
          <w:color w:val="FF0000"/>
          <w:sz w:val="30"/>
          <w:szCs w:val="30"/>
        </w:rPr>
        <w:t>热轧卷板期货业务</w:t>
      </w:r>
      <w:r w:rsidRPr="003B2ADF">
        <w:rPr>
          <w:rFonts w:ascii="宋体" w:eastAsia="宋体" w:hAnsi="宋体" w:cs="Times New Roman" w:hint="eastAsia"/>
          <w:dstrike/>
          <w:sz w:val="30"/>
          <w:szCs w:val="30"/>
        </w:rPr>
        <w:t>交割</w:t>
      </w:r>
      <w:r w:rsidRPr="003B2ADF">
        <w:rPr>
          <w:rFonts w:ascii="宋体" w:eastAsia="宋体" w:hAnsi="宋体" w:cs="Times New Roman" w:hint="eastAsia"/>
          <w:b/>
          <w:color w:val="FF0000"/>
          <w:sz w:val="30"/>
          <w:szCs w:val="30"/>
        </w:rPr>
        <w:t>细则</w:t>
      </w:r>
      <w:r w:rsidRPr="003B2ADF">
        <w:rPr>
          <w:rFonts w:ascii="宋体" w:eastAsia="宋体" w:hAnsi="宋体" w:cs="Times New Roman" w:hint="eastAsia"/>
          <w:sz w:val="30"/>
          <w:szCs w:val="30"/>
        </w:rPr>
        <w:t>》及上海期货交易所另行公告规定的其他要求。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sz w:val="30"/>
          <w:szCs w:val="30"/>
        </w:rPr>
        <w:t>用于实物交割的热轧卷板，应当是交易所注册的品牌。具体的注册品牌，由交易所另行规定并公告。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四、</w:t>
      </w:r>
      <w:r w:rsidRPr="003B2ADF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3B2ADF">
        <w:rPr>
          <w:rFonts w:ascii="宋体" w:eastAsia="宋体" w:hAnsi="宋体" w:cs="Times New Roman" w:hint="eastAsia"/>
          <w:sz w:val="30"/>
          <w:szCs w:val="30"/>
        </w:rPr>
        <w:t>交割</w:t>
      </w:r>
      <w:r w:rsidRPr="003B2ADF">
        <w:rPr>
          <w:rFonts w:ascii="宋体" w:eastAsia="宋体" w:hAnsi="宋体" w:cs="Times New Roman" w:hint="eastAsia"/>
          <w:dstrike/>
          <w:sz w:val="30"/>
          <w:szCs w:val="30"/>
        </w:rPr>
        <w:t>仓</w:t>
      </w:r>
      <w:r w:rsidRPr="003B2ADF">
        <w:rPr>
          <w:rFonts w:ascii="宋体" w:eastAsia="宋体" w:hAnsi="宋体" w:cs="Times New Roman" w:hint="eastAsia"/>
          <w:sz w:val="30"/>
          <w:szCs w:val="30"/>
        </w:rPr>
        <w:t>库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3B2ADF">
        <w:rPr>
          <w:rFonts w:ascii="宋体" w:eastAsia="宋体" w:hAnsi="宋体" w:cs="Times New Roman"/>
          <w:sz w:val="30"/>
          <w:szCs w:val="30"/>
        </w:rPr>
        <w:t>交割</w:t>
      </w:r>
      <w:r w:rsidRPr="003B2ADF">
        <w:rPr>
          <w:rFonts w:ascii="宋体" w:eastAsia="宋体" w:hAnsi="宋体" w:cs="Times New Roman"/>
          <w:dstrike/>
          <w:sz w:val="30"/>
          <w:szCs w:val="30"/>
        </w:rPr>
        <w:t>仓</w:t>
      </w:r>
      <w:r w:rsidRPr="003B2ADF">
        <w:rPr>
          <w:rFonts w:ascii="宋体" w:eastAsia="宋体" w:hAnsi="宋体" w:cs="Times New Roman"/>
          <w:sz w:val="30"/>
          <w:szCs w:val="30"/>
        </w:rPr>
        <w:t>库由交易所</w:t>
      </w:r>
      <w:r w:rsidRPr="003B2ADF">
        <w:rPr>
          <w:rFonts w:ascii="宋体" w:eastAsia="宋体" w:hAnsi="宋体" w:cs="Times New Roman" w:hint="eastAsia"/>
          <w:dstrike/>
          <w:sz w:val="30"/>
          <w:szCs w:val="30"/>
        </w:rPr>
        <w:t>指定并</w:t>
      </w:r>
      <w:r w:rsidRPr="003B2ADF">
        <w:rPr>
          <w:rFonts w:ascii="宋体" w:eastAsia="宋体" w:hAnsi="宋体" w:cs="Times New Roman" w:hint="eastAsia"/>
          <w:sz w:val="30"/>
          <w:szCs w:val="30"/>
        </w:rPr>
        <w:t>另行公告。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lastRenderedPageBreak/>
        <w:t>五、附加说明</w:t>
      </w:r>
    </w:p>
    <w:p w:rsidR="009D1323" w:rsidRPr="003B2ADF" w:rsidRDefault="009D1323" w:rsidP="00C9340A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sz w:val="30"/>
          <w:szCs w:val="30"/>
        </w:rPr>
        <w:t>本期货合约由上海期货交易所负责解释。</w:t>
      </w: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</w:p>
    <w:p w:rsidR="00890BC2" w:rsidRPr="003B2ADF" w:rsidRDefault="00890BC2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3B2ADF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上海期货交易所热轧卷板期货合约</w:t>
      </w:r>
    </w:p>
    <w:p w:rsidR="009D1323" w:rsidRPr="003B2ADF" w:rsidRDefault="009D1323" w:rsidP="009D1323">
      <w:pPr>
        <w:spacing w:line="48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3B2ADF">
        <w:rPr>
          <w:rFonts w:ascii="宋体" w:eastAsia="宋体" w:hAnsi="宋体" w:cs="Times New Roman" w:hint="eastAsia"/>
          <w:sz w:val="42"/>
          <w:szCs w:val="42"/>
        </w:rPr>
        <w:t>（</w:t>
      </w:r>
      <w:r w:rsidR="00CB59B9" w:rsidRPr="003B2ADF">
        <w:rPr>
          <w:rFonts w:ascii="宋体" w:eastAsia="宋体" w:hAnsi="宋体" w:cs="Times New Roman" w:hint="eastAsia"/>
          <w:sz w:val="42"/>
          <w:szCs w:val="42"/>
        </w:rPr>
        <w:t>修订版</w:t>
      </w:r>
      <w:r w:rsidRPr="003B2ADF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6310"/>
      </w:tblGrid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热轧卷板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11:30，下午1:30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3:00和交易所规定的其他交易时间。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个工作日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标准品：符合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GB/T 3274-2017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《碳素结构钢和低合金结构钢热轧厚钢板和钢带》的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Q235B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或符合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JIS G 3101-2015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《一般结构用轧制钢材》的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SS400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，厚度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5.75mm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、宽度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1500mm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热轧卷板。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替代品：符合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GB/T 3274-2017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《碳素结构钢和低合金结构钢热轧厚钢板和钢带》的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Q235B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或符合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JIS G 3101-2015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《一般结构用轧制钢材》的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SS400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，厚度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9.75mm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9.5mm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7.75mm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7.5mm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5.50mm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4.75mm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4.50mm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3.75mm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3.50mm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，宽度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1500mm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热轧卷板。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交易所交割库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300</w:t>
            </w: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/>
                <w:sz w:val="28"/>
                <w:szCs w:val="28"/>
              </w:rPr>
              <w:t>HC</w:t>
            </w:r>
          </w:p>
        </w:tc>
      </w:tr>
      <w:tr w:rsidR="00890BC2" w:rsidRPr="003B2ADF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3B2ADF" w:rsidRDefault="00890BC2" w:rsidP="009D1323">
            <w:pPr>
              <w:widowControl/>
              <w:spacing w:line="4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3B2ADF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9D1323" w:rsidRPr="003B2ADF" w:rsidRDefault="009D1323" w:rsidP="00890BC2">
      <w:pPr>
        <w:jc w:val="center"/>
        <w:rPr>
          <w:rFonts w:ascii="宋体" w:eastAsia="宋体" w:hAnsi="宋体" w:cs="Times New Roman"/>
          <w:sz w:val="42"/>
          <w:szCs w:val="42"/>
        </w:rPr>
      </w:pPr>
    </w:p>
    <w:p w:rsidR="00890BC2" w:rsidRPr="003B2ADF" w:rsidRDefault="00890BC2" w:rsidP="00890BC2">
      <w:pPr>
        <w:jc w:val="center"/>
        <w:rPr>
          <w:rFonts w:ascii="宋体" w:eastAsia="宋体" w:hAnsi="宋体" w:cs="Times New Roman"/>
          <w:sz w:val="42"/>
          <w:szCs w:val="42"/>
        </w:rPr>
      </w:pPr>
      <w:r w:rsidRPr="003B2ADF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上海期货交易所热轧卷板期货合约附件</w:t>
      </w:r>
    </w:p>
    <w:p w:rsidR="00890BC2" w:rsidRPr="003B2ADF" w:rsidRDefault="00890BC2" w:rsidP="00890BC2">
      <w:pPr>
        <w:widowControl/>
        <w:rPr>
          <w:rFonts w:ascii="宋体" w:eastAsia="宋体" w:hAnsi="宋体" w:cs="Times New Roman"/>
          <w:sz w:val="42"/>
          <w:szCs w:val="42"/>
        </w:rPr>
      </w:pP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热轧卷板期货合约的交易单位为每手10吨，交割单位为每一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仓单300吨，交割应当以每一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仓单的整数倍交割。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（一）用于本合约实物交割的热轧卷板质量规定如下：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1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、标准品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符合国标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GB/T 3274-2017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《碳素结构钢和低合金结构钢热轧厚钢板和钢带》的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Q235B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或符合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JIS G 3101-2015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《一般结构用轧制钢材》的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SS400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，厚度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5.75mm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、宽度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1500mm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热轧卷板。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、替代品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符合国标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GB/T 3274-2017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《碳素结构钢和低合金结构钢热轧厚钢板和钢带》的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Q235B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或符合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JIS G 3101-2015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《一般结构用轧制钢材》的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SS400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，厚度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9.75mm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9.5mm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7.75mm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7.5mm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5.50mm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4.75mm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4.50mm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3.75mm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3.50mm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，宽度</w:t>
      </w:r>
      <w:r w:rsidRPr="003B2ADF">
        <w:rPr>
          <w:rFonts w:ascii="宋体" w:eastAsia="宋体" w:hAnsi="宋体" w:cs="Times New Roman"/>
          <w:color w:val="000000" w:themeColor="text1"/>
          <w:sz w:val="30"/>
          <w:szCs w:val="30"/>
        </w:rPr>
        <w:t>1500mm</w:t>
      </w: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热轧卷板。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3B2ADF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（二）《上海期货交易所热轧卷板期货业务细则》及上海期货交易所另行公告规定的其他要求。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三、交易所认可的生产企业和注册品牌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sz w:val="30"/>
          <w:szCs w:val="30"/>
        </w:rPr>
        <w:t>用于实物交割的热轧卷板，应当是交易所注册的品牌。具体的注册品牌，由交易所另行规定并公告。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t>四、交割库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sz w:val="30"/>
          <w:szCs w:val="30"/>
        </w:rPr>
        <w:t>交割库由交易所</w:t>
      </w:r>
      <w:r w:rsidRPr="003B2ADF">
        <w:rPr>
          <w:rFonts w:ascii="宋体" w:eastAsia="宋体" w:hAnsi="宋体" w:cs="Times New Roman" w:hint="eastAsia"/>
          <w:sz w:val="30"/>
          <w:szCs w:val="30"/>
        </w:rPr>
        <w:t>另行公告。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 w:hint="eastAsia"/>
          <w:sz w:val="30"/>
          <w:szCs w:val="30"/>
        </w:rPr>
        <w:lastRenderedPageBreak/>
        <w:t>五、附加说明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3B2ADF">
        <w:rPr>
          <w:rFonts w:ascii="宋体" w:eastAsia="宋体" w:hAnsi="宋体" w:cs="Times New Roman"/>
          <w:sz w:val="30"/>
          <w:szCs w:val="30"/>
        </w:rPr>
        <w:t>本期货合约由上海期货交易所负责解释。</w:t>
      </w:r>
    </w:p>
    <w:p w:rsidR="00890BC2" w:rsidRPr="003B2ADF" w:rsidRDefault="00890BC2" w:rsidP="00890BC2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bookmarkEnd w:id="0"/>
    <w:p w:rsidR="00B8654A" w:rsidRPr="003B2ADF" w:rsidRDefault="00B8654A">
      <w:pPr>
        <w:rPr>
          <w:rFonts w:ascii="宋体" w:eastAsia="宋体" w:hAnsi="宋体"/>
        </w:rPr>
      </w:pPr>
    </w:p>
    <w:sectPr w:rsidR="00B8654A" w:rsidRPr="003B2ADF" w:rsidSect="003330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13" w:rsidRDefault="00B44013" w:rsidP="00890BC2">
      <w:r>
        <w:separator/>
      </w:r>
    </w:p>
  </w:endnote>
  <w:endnote w:type="continuationSeparator" w:id="0">
    <w:p w:rsidR="00B44013" w:rsidRDefault="00B44013" w:rsidP="0089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109202"/>
      <w:docPartObj>
        <w:docPartGallery w:val="Page Numbers (Bottom of Page)"/>
        <w:docPartUnique/>
      </w:docPartObj>
    </w:sdtPr>
    <w:sdtEndPr/>
    <w:sdtContent>
      <w:p w:rsidR="00890BC2" w:rsidRDefault="0033309E">
        <w:pPr>
          <w:pStyle w:val="a5"/>
          <w:jc w:val="center"/>
        </w:pPr>
        <w:r>
          <w:fldChar w:fldCharType="begin"/>
        </w:r>
        <w:r w:rsidR="00890BC2">
          <w:instrText>PAGE   \* MERGEFORMAT</w:instrText>
        </w:r>
        <w:r>
          <w:fldChar w:fldCharType="separate"/>
        </w:r>
        <w:r w:rsidR="003B2ADF" w:rsidRPr="003B2ADF">
          <w:rPr>
            <w:noProof/>
            <w:lang w:val="zh-CN"/>
          </w:rPr>
          <w:t>1</w:t>
        </w:r>
        <w:r>
          <w:fldChar w:fldCharType="end"/>
        </w:r>
      </w:p>
    </w:sdtContent>
  </w:sdt>
  <w:p w:rsidR="00890BC2" w:rsidRDefault="00890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13" w:rsidRDefault="00B44013" w:rsidP="00890BC2">
      <w:r>
        <w:separator/>
      </w:r>
    </w:p>
  </w:footnote>
  <w:footnote w:type="continuationSeparator" w:id="0">
    <w:p w:rsidR="00B44013" w:rsidRDefault="00B44013" w:rsidP="0089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BC2"/>
    <w:rsid w:val="00075587"/>
    <w:rsid w:val="001A1716"/>
    <w:rsid w:val="001E1CB2"/>
    <w:rsid w:val="001F7A21"/>
    <w:rsid w:val="003304F0"/>
    <w:rsid w:val="0033309E"/>
    <w:rsid w:val="003B2ADF"/>
    <w:rsid w:val="00445FDD"/>
    <w:rsid w:val="005918DA"/>
    <w:rsid w:val="00851F50"/>
    <w:rsid w:val="0085224C"/>
    <w:rsid w:val="00890BC2"/>
    <w:rsid w:val="009D1323"/>
    <w:rsid w:val="00B37D1B"/>
    <w:rsid w:val="00B44013"/>
    <w:rsid w:val="00B8654A"/>
    <w:rsid w:val="00BC474C"/>
    <w:rsid w:val="00BE4375"/>
    <w:rsid w:val="00C43115"/>
    <w:rsid w:val="00C9340A"/>
    <w:rsid w:val="00CB59B9"/>
    <w:rsid w:val="00D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7EB0A-636D-42CF-A6AB-9A96D34A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B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339</Words>
  <Characters>1933</Characters>
  <Application>Microsoft Office Word</Application>
  <DocSecurity>0</DocSecurity>
  <Lines>16</Lines>
  <Paragraphs>4</Paragraphs>
  <ScaleCrop>false</ScaleCrop>
  <Company>SHFE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10</cp:revision>
  <dcterms:created xsi:type="dcterms:W3CDTF">2024-07-10T01:12:00Z</dcterms:created>
  <dcterms:modified xsi:type="dcterms:W3CDTF">2024-08-26T00:57:00Z</dcterms:modified>
</cp:coreProperties>
</file>