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tabs>
          <w:tab w:val="left" w:pos="1620"/>
        </w:tabs>
        <w:autoSpaceDE w:val="0"/>
        <w:autoSpaceDN w:val="0"/>
        <w:jc w:val="center"/>
        <w:outlineLvl w:val="1"/>
        <w:rPr>
          <w:rFonts w:ascii="宋体" w:hAnsi="宋体" w:eastAsia="宋体" w:cs="Times New Roman"/>
          <w:b/>
          <w:sz w:val="44"/>
          <w:szCs w:val="44"/>
          <w:highlight w:val="none"/>
        </w:rPr>
      </w:pPr>
      <w:r>
        <w:rPr>
          <w:rFonts w:hint="eastAsia" w:ascii="宋体" w:hAnsi="宋体" w:eastAsia="宋体" w:cs="Times New Roman"/>
          <w:b/>
          <w:sz w:val="44"/>
          <w:szCs w:val="44"/>
          <w:highlight w:val="none"/>
        </w:rPr>
        <w:t>郑州商品交易所硅铁期货业务细则</w:t>
      </w:r>
    </w:p>
    <w:p>
      <w:pPr>
        <w:spacing w:before="240" w:after="240"/>
        <w:ind w:firstLine="480" w:firstLineChars="200"/>
        <w:rPr>
          <w:rFonts w:hint="eastAsia" w:ascii="宋体" w:hAnsi="宋体" w:cs="宋体"/>
          <w:b w:val="0"/>
          <w:bCs w:val="0"/>
          <w:color w:val="auto"/>
          <w:kern w:val="0"/>
          <w:sz w:val="24"/>
          <w:highlight w:val="none"/>
          <w:shd w:val="clear" w:color="auto" w:fill="FFFFFF"/>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第十次会议审议通过，2024年2月6日〔2024〕16号公告发布，</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cs="宋体"/>
          <w:b w:val="0"/>
          <w:bCs w:val="0"/>
          <w:color w:val="auto"/>
          <w:kern w:val="0"/>
          <w:sz w:val="24"/>
          <w:highlight w:val="none"/>
          <w:shd w:val="clear" w:color="auto" w:fill="FFFFFF"/>
          <w:lang w:val="en-US" w:eastAsia="zh-CN"/>
        </w:rPr>
        <w:t>;</w:t>
      </w:r>
      <w:r>
        <w:rPr>
          <w:rFonts w:hint="default" w:ascii="宋体" w:hAnsi="宋体" w:cs="宋体"/>
          <w:b w:val="0"/>
          <w:bCs w:val="0"/>
          <w:color w:val="auto"/>
          <w:kern w:val="0"/>
          <w:sz w:val="24"/>
          <w:highlight w:val="none"/>
          <w:shd w:val="clear" w:color="auto" w:fill="FFFFFF"/>
          <w:lang w:val="en-US" w:eastAsia="zh-CN"/>
        </w:rPr>
        <w:t>2024年10月8日郑州商品交易所第八届理事会第十八次会议审议通过，</w:t>
      </w:r>
      <w:r>
        <w:rPr>
          <w:rFonts w:hint="eastAsia" w:ascii="宋体" w:hAnsi="宋体" w:cs="宋体"/>
          <w:b w:val="0"/>
          <w:bCs w:val="0"/>
          <w:color w:val="auto"/>
          <w:kern w:val="0"/>
          <w:sz w:val="24"/>
          <w:highlight w:val="none"/>
          <w:shd w:val="clear" w:color="auto" w:fill="FFFFFF"/>
          <w:lang w:val="en-US" w:eastAsia="zh-CN"/>
        </w:rPr>
        <w:t>2024年11月4日〔2024〕147号公告发布，</w:t>
      </w:r>
      <w:r>
        <w:rPr>
          <w:rFonts w:hint="default" w:ascii="宋体" w:hAnsi="宋体" w:eastAsia="宋体" w:cs="宋体"/>
          <w:color w:val="auto"/>
          <w:kern w:val="0"/>
          <w:sz w:val="24"/>
          <w:szCs w:val="24"/>
          <w:highlight w:val="none"/>
          <w:shd w:val="clear" w:color="auto" w:fill="FFFFFF"/>
          <w:lang w:eastAsia="zh-CN"/>
        </w:rPr>
        <w:t>适用于硅铁期货</w:t>
      </w:r>
      <w:r>
        <w:rPr>
          <w:rFonts w:hint="default" w:ascii="宋体" w:hAnsi="宋体" w:eastAsia="宋体" w:cs="宋体"/>
          <w:color w:val="auto"/>
          <w:kern w:val="0"/>
          <w:sz w:val="24"/>
          <w:szCs w:val="24"/>
          <w:highlight w:val="none"/>
          <w:shd w:val="clear" w:color="auto" w:fill="FFFFFF"/>
          <w:lang w:val="en-US" w:eastAsia="zh-CN"/>
        </w:rPr>
        <w:t>2502及后续合约，自2024年</w:t>
      </w:r>
      <w:r>
        <w:rPr>
          <w:rFonts w:hint="eastAsia" w:ascii="宋体" w:hAnsi="宋体" w:cs="宋体"/>
          <w:color w:val="auto"/>
          <w:kern w:val="0"/>
          <w:sz w:val="24"/>
          <w:szCs w:val="24"/>
          <w:highlight w:val="none"/>
          <w:shd w:val="clear" w:color="auto" w:fill="FFFFFF"/>
          <w:lang w:val="en-US" w:eastAsia="zh-CN"/>
        </w:rPr>
        <w:t>11</w:t>
      </w:r>
      <w:r>
        <w:rPr>
          <w:rFonts w:hint="default" w:ascii="宋体" w:hAnsi="宋体" w:eastAsia="宋体" w:cs="宋体"/>
          <w:color w:val="auto"/>
          <w:kern w:val="0"/>
          <w:sz w:val="24"/>
          <w:szCs w:val="24"/>
          <w:highlight w:val="none"/>
          <w:shd w:val="clear" w:color="auto" w:fill="FFFFFF"/>
          <w:lang w:val="en-US" w:eastAsia="zh-CN"/>
        </w:rPr>
        <w:t>月</w:t>
      </w:r>
      <w:r>
        <w:rPr>
          <w:rFonts w:hint="eastAsia" w:ascii="宋体" w:hAnsi="宋体" w:cs="宋体"/>
          <w:color w:val="auto"/>
          <w:kern w:val="0"/>
          <w:sz w:val="24"/>
          <w:szCs w:val="24"/>
          <w:highlight w:val="none"/>
          <w:shd w:val="clear" w:color="auto" w:fill="FFFFFF"/>
          <w:lang w:val="en-US" w:eastAsia="zh-CN"/>
        </w:rPr>
        <w:t>7</w:t>
      </w:r>
      <w:r>
        <w:rPr>
          <w:rFonts w:hint="default" w:ascii="宋体" w:hAnsi="宋体" w:eastAsia="宋体" w:cs="宋体"/>
          <w:color w:val="auto"/>
          <w:kern w:val="0"/>
          <w:sz w:val="24"/>
          <w:szCs w:val="24"/>
          <w:highlight w:val="none"/>
          <w:shd w:val="clear" w:color="auto" w:fill="FFFFFF"/>
          <w:lang w:val="en-US" w:eastAsia="zh-CN"/>
        </w:rPr>
        <w:t>日起施行</w:t>
      </w:r>
      <w:r>
        <w:rPr>
          <w:rFonts w:hint="default" w:ascii="宋体" w:hAnsi="宋体" w:cs="宋体"/>
          <w:b w:val="0"/>
          <w:bCs w:val="0"/>
          <w:color w:val="auto"/>
          <w:kern w:val="0"/>
          <w:sz w:val="24"/>
          <w:highlight w:val="none"/>
          <w:shd w:val="clear" w:color="auto" w:fill="FFFFFF"/>
        </w:rPr>
        <w:t>）</w:t>
      </w:r>
    </w:p>
    <w:p>
      <w:pPr>
        <w:tabs>
          <w:tab w:val="left" w:pos="1620"/>
        </w:tabs>
        <w:autoSpaceDE w:val="0"/>
        <w:autoSpaceDN w:val="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为了规范郑州商品交易所（以下简称交易所）硅铁期货相关业务，根据《郑州商品交易所交易规则》及硅铁期货合约，制定本细则。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硅铁期货合约交易单位为5吨/手。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硅铁期货合约报价单位为元（人民币）/吨。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硅铁期货合约最小变动价位为2元/吨。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硅铁期货合约交割月份为1至12月。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硅铁</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ascii="宋体" w:hAnsi="宋体" w:cs="Times New Roman"/>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交易所可以根据市场情况，对硅铁期货合约交易指令每次最小下单量、每次最大下单量进行调整，具体标准由交易所另行公布。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硅铁期货合约交易时间为上午9:00—11:30，下午13:30—15:00；其中，上午10:15—10:30为休息时间。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交易所另行公告硅铁期货合约开展夜盘交易的，以交易所公告为准。交易所可以根据市场情况，暂停、取消硅铁期货合约夜盘交易或者对夜盘交易时间进行调整，具体由交易所另行公告。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硅铁期货合约最后交易日为合约交割月份的第10个交易日。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硅铁期货合约交易代码为SF</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硅铁期货适用期货转现货、仓库标准仓单交割和厂库标准仓单交割。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硅铁期货滚动交割的配对方式为响应配对。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硅铁期货的交割单位为</w:t>
      </w:r>
      <w:r>
        <w:rPr>
          <w:rFonts w:hint="eastAsia" w:ascii="宋体" w:hAnsi="宋体" w:eastAsia="宋体" w:cs="宋体"/>
          <w:kern w:val="0"/>
          <w:sz w:val="28"/>
          <w:szCs w:val="28"/>
          <w:highlight w:val="none"/>
        </w:rPr>
        <w:t>5吨（净重）。</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硅铁期货合约的最后交割日为合约交割月份的第13个交易日。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硅铁期货标准仓单可以分为仓库标准仓单和厂库标准仓单。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硅铁期货标准仓单为非通用标准仓单。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每年</w:t>
      </w:r>
      <w:r>
        <w:rPr>
          <w:rFonts w:ascii="宋体" w:hAnsi="宋体" w:eastAsia="宋体" w:cs="宋体"/>
          <w:color w:val="000000"/>
          <w:kern w:val="0"/>
          <w:sz w:val="28"/>
          <w:szCs w:val="28"/>
          <w:highlight w:val="none"/>
        </w:rPr>
        <w:t>2月、6月、10月第15个交易日之前</w:t>
      </w:r>
      <w:r>
        <w:rPr>
          <w:rFonts w:hint="eastAsia" w:ascii="宋体" w:hAnsi="宋体" w:eastAsia="宋体" w:cs="宋体"/>
          <w:color w:val="000000"/>
          <w:kern w:val="0"/>
          <w:sz w:val="28"/>
          <w:szCs w:val="28"/>
          <w:highlight w:val="none"/>
        </w:rPr>
        <w:t>（含该日）注册的硅铁期货标准仓单，应当在当年</w:t>
      </w:r>
      <w:r>
        <w:rPr>
          <w:rFonts w:ascii="宋体" w:hAnsi="宋体" w:eastAsia="宋体" w:cs="宋体"/>
          <w:color w:val="000000"/>
          <w:kern w:val="0"/>
          <w:sz w:val="28"/>
          <w:szCs w:val="28"/>
          <w:highlight w:val="none"/>
        </w:rPr>
        <w:t>2月、6月、10月第15个交易日之前</w:t>
      </w:r>
      <w:r>
        <w:rPr>
          <w:rFonts w:hint="eastAsia" w:ascii="宋体" w:hAnsi="宋体" w:eastAsia="宋体" w:cs="宋体"/>
          <w:color w:val="000000"/>
          <w:kern w:val="0"/>
          <w:sz w:val="28"/>
          <w:szCs w:val="28"/>
          <w:highlight w:val="none"/>
        </w:rPr>
        <w:t>（含该日）全部注销。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硅铁期货交割开具增值税专用发票。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硅铁期货仓库、厂库及相关升贴水由交易所确定并公布，交易所可以视情况对硅铁期货仓库、厂库及相关升贴水进行调整。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硅铁期货的交割基准价为基准交割品在基准仓库出库时汽车板交货的含税价格</w:t>
      </w:r>
      <w:r>
        <w:rPr>
          <w:rFonts w:hint="eastAsia" w:ascii="宋体" w:hAnsi="宋体" w:eastAsia="宋体" w:cs="宋体"/>
          <w:kern w:val="0"/>
          <w:sz w:val="28"/>
          <w:szCs w:val="28"/>
          <w:highlight w:val="none"/>
        </w:rPr>
        <w:t>（含包装）</w:t>
      </w:r>
      <w:r>
        <w:rPr>
          <w:rFonts w:hint="eastAsia" w:ascii="宋体" w:hAnsi="宋体" w:eastAsia="宋体" w:cs="宋体"/>
          <w:color w:val="000000"/>
          <w:kern w:val="0"/>
          <w:sz w:val="28"/>
          <w:szCs w:val="28"/>
          <w:highlight w:val="none"/>
        </w:rPr>
        <w:t>。</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硅铁运达仓库指定货位前的一切费用和货物装到汽车板的出库费用由标准仓单注册人承担，货物出库装到汽车板后的一切费用由提货人承担。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硅铁期货交割手续费、仓储费、出入库费及检验费、配合检验费等交割相关费用标准由交易所另行公布。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硅铁包装物价格包含在相应期货合约价格中，不另行计价。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硅铁期货标准仓单生成、流通、注销等相关业务，本细则未规定的，适用《郑州商品交易所标准仓单管理办法》相关规定。</w:t>
      </w:r>
    </w:p>
    <w:p>
      <w:pPr>
        <w:tabs>
          <w:tab w:val="left" w:pos="1620"/>
        </w:tabs>
        <w:autoSpaceDE w:val="0"/>
        <w:autoSpaceDN w:val="0"/>
        <w:ind w:firstLine="562"/>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硅铁期货交割适用国家标准及本细则规定。</w:t>
      </w:r>
    </w:p>
    <w:p>
      <w:pPr>
        <w:ind w:firstLine="560" w:firstLineChars="200"/>
        <w:rPr>
          <w:rFonts w:ascii="宋体" w:hAnsi="宋体" w:eastAsia="宋体" w:cs="宋体"/>
          <w:spacing w:val="-6"/>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基准交割品：符合《中华人民共和国国家标准 硅铁》（</w:t>
      </w:r>
      <w:r>
        <w:rPr>
          <w:rFonts w:hint="eastAsia" w:ascii="宋体" w:hAnsi="宋体" w:eastAsia="宋体" w:cs="宋体"/>
          <w:spacing w:val="-6"/>
          <w:kern w:val="0"/>
          <w:sz w:val="28"/>
          <w:szCs w:val="28"/>
          <w:highlight w:val="none"/>
        </w:rPr>
        <w:t>GB/T  2272-2020</w:t>
      </w:r>
      <w:r>
        <w:rPr>
          <w:rFonts w:hint="eastAsia" w:ascii="宋体" w:hAnsi="宋体" w:eastAsia="宋体" w:cs="宋体"/>
          <w:kern w:val="0"/>
          <w:sz w:val="28"/>
          <w:szCs w:val="28"/>
          <w:highlight w:val="none"/>
        </w:rPr>
        <w:t>）</w:t>
      </w:r>
      <w:r>
        <w:rPr>
          <w:rFonts w:hint="eastAsia" w:ascii="宋体" w:hAnsi="宋体" w:eastAsia="宋体" w:cs="宋体"/>
          <w:spacing w:val="-6"/>
          <w:kern w:val="0"/>
          <w:sz w:val="28"/>
          <w:szCs w:val="28"/>
          <w:highlight w:val="none"/>
        </w:rPr>
        <w:t>规定牌号为</w:t>
      </w:r>
      <w:r>
        <w:rPr>
          <w:rFonts w:ascii="宋体" w:hAnsi="宋体" w:eastAsia="宋体" w:cs="宋体"/>
          <w:spacing w:val="-6"/>
          <w:kern w:val="0"/>
          <w:sz w:val="28"/>
          <w:szCs w:val="28"/>
          <w:highlight w:val="none"/>
        </w:rPr>
        <w:t>PG FeSi72Al2.5</w:t>
      </w:r>
      <w:r>
        <w:rPr>
          <w:rFonts w:hint="eastAsia" w:ascii="宋体" w:hAnsi="宋体" w:eastAsia="宋体" w:cs="宋体"/>
          <w:spacing w:val="-6"/>
          <w:kern w:val="0"/>
          <w:sz w:val="28"/>
          <w:szCs w:val="28"/>
          <w:highlight w:val="none"/>
        </w:rPr>
        <w:t>（硅含量≥72.0%、磷含量≤0.04%、硫含量≤0.02%、碳含量≤0.2%）、粒度为10-60mm的硅铁，其中：锰、铬、铝、钛含量不作要求；粒度偏差筛下物不大于5%，筛上物不大于8%。</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硅铁交割品包装采用双层、中间加固拦腰围带的塑料编织袋。包装袋上应当标明产品名称、产品牌号、执行标准以及生产企业名称。</w:t>
      </w:r>
      <w:r>
        <w:rPr>
          <w:rFonts w:ascii="宋体" w:hAnsi="宋体" w:eastAsia="宋体" w:cs="宋体"/>
          <w:kern w:val="0"/>
          <w:sz w:val="28"/>
          <w:szCs w:val="28"/>
          <w:highlight w:val="none"/>
        </w:rPr>
        <w:t>在同一质检批次内，平均单包净重为1000±10公斤。</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硅铁交割品按照净重结算，包装物按照</w:t>
      </w:r>
      <w:r>
        <w:rPr>
          <w:rFonts w:ascii="宋体" w:hAnsi="宋体" w:eastAsia="宋体" w:cs="宋体"/>
          <w:kern w:val="0"/>
          <w:sz w:val="28"/>
          <w:szCs w:val="28"/>
          <w:highlight w:val="none"/>
        </w:rPr>
        <w:t>2.5公斤/条的标准扣除重量。</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硅铁期货交割预报时，应当按</w:t>
      </w:r>
      <w:r>
        <w:rPr>
          <w:rFonts w:ascii="宋体" w:hAnsi="宋体" w:eastAsia="宋体" w:cs="宋体"/>
          <w:kern w:val="0"/>
          <w:sz w:val="28"/>
          <w:szCs w:val="28"/>
          <w:highlight w:val="none"/>
        </w:rPr>
        <w:t>30元/</w:t>
      </w:r>
      <w:r>
        <w:rPr>
          <w:rFonts w:hint="eastAsia" w:ascii="宋体" w:hAnsi="宋体" w:eastAsia="宋体" w:cs="宋体"/>
          <w:kern w:val="0"/>
          <w:sz w:val="28"/>
          <w:szCs w:val="28"/>
          <w:highlight w:val="none"/>
        </w:rPr>
        <w:t>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仓库开具的硅铁《入库通知单》有效期为40个日历日。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第二十七</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硅铁入库时，标准仓单注册人应当向仓库提交本批硅铁生产厂家出具的《质量证明书》，</w:t>
      </w:r>
      <w:r>
        <w:rPr>
          <w:rFonts w:hint="eastAsia" w:ascii="宋体" w:hAnsi="宋体" w:eastAsia="宋体" w:cs="宋体"/>
          <w:kern w:val="0"/>
          <w:sz w:val="28"/>
          <w:szCs w:val="28"/>
          <w:highlight w:val="none"/>
        </w:rPr>
        <w:t>并签署《硅铁粉化质量责任承诺书》</w:t>
      </w:r>
      <w:r>
        <w:rPr>
          <w:rFonts w:hint="eastAsia" w:ascii="宋体" w:hAnsi="宋体" w:eastAsia="宋体" w:cs="宋体"/>
          <w:color w:val="000000"/>
          <w:kern w:val="0"/>
          <w:sz w:val="28"/>
          <w:szCs w:val="28"/>
          <w:highlight w:val="none"/>
        </w:rPr>
        <w:t>。《质量证明书》应当注明生产厂家、生产（出厂）日期、适用的质量标准和该批产品的质量检验结果等信息。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硅铁生产（出厂）日期超过</w:t>
      </w:r>
      <w:r>
        <w:rPr>
          <w:rFonts w:ascii="宋体" w:hAnsi="宋体" w:eastAsia="宋体" w:cs="宋体"/>
          <w:kern w:val="0"/>
          <w:sz w:val="28"/>
          <w:szCs w:val="28"/>
          <w:highlight w:val="none"/>
        </w:rPr>
        <w:t>90</w:t>
      </w:r>
      <w:r>
        <w:rPr>
          <w:rFonts w:hint="eastAsia" w:ascii="宋体" w:hAnsi="宋体" w:eastAsia="宋体" w:cs="宋体"/>
          <w:kern w:val="0"/>
          <w:sz w:val="28"/>
          <w:szCs w:val="28"/>
          <w:highlight w:val="none"/>
        </w:rPr>
        <w:t>天</w:t>
      </w:r>
      <w:r>
        <w:rPr>
          <w:rFonts w:ascii="宋体" w:hAnsi="宋体" w:eastAsia="宋体" w:cs="宋体"/>
          <w:kern w:val="0"/>
          <w:sz w:val="28"/>
          <w:szCs w:val="28"/>
          <w:highlight w:val="none"/>
        </w:rPr>
        <w:t>的</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不得入库。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硅铁有粉化现象的，不得入库。</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硅铁入库时，仓库对入库商品进行重量验收。硅铁重量验收采用过地磅方式进行。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入库硅铁的采样、制样、质量检验以及粒度检测由指定质检机构负责，按照有关国家标准执行，仓库应当予以协助，指定质检机构检验费用及仓库配合检验费用由标准仓单注册人承担。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指定质检机构应当自完成采样之日起7个工作日内出具检验结果，并及时通知仓库。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硅铁入库时，包装物应当干燥、结实耐用、适宜存储。包装物因采样损坏的，仓库应当按照相应国家标准重新灌包，所需包装物由标准仓单注册人提供，灌包费用由标准仓单注册人承担。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硅铁期货实行免检品牌制度。</w:t>
      </w:r>
      <w:r>
        <w:rPr>
          <w:rFonts w:hint="eastAsia" w:ascii="宋体" w:hAnsi="宋体" w:eastAsia="宋体" w:cs="宋体"/>
          <w:kern w:val="0"/>
          <w:sz w:val="28"/>
          <w:szCs w:val="32"/>
          <w:highlight w:val="none"/>
        </w:rPr>
        <w:t>免检品牌生产厂家直接申请入库的，入库硅铁质量可以免检；标准仓单注册人向交易所和仓库提交免检品牌生产厂家出具符合交易所要求的《产品质量责任承诺书》及相关材料的，入库硅铁质量可以免检。</w:t>
      </w:r>
      <w:r>
        <w:rPr>
          <w:rFonts w:hint="eastAsia" w:ascii="宋体" w:hAnsi="宋体" w:eastAsia="宋体" w:cs="宋体"/>
          <w:kern w:val="0"/>
          <w:sz w:val="28"/>
          <w:szCs w:val="28"/>
          <w:highlight w:val="none"/>
        </w:rPr>
        <w:t>硅铁免检品牌由交易所另行公告</w:t>
      </w:r>
      <w:r>
        <w:rPr>
          <w:rFonts w:ascii="宋体" w:hAnsi="宋体" w:eastAsia="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硅铁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硅铁仓库标准仓单注销后，提货人应当在交易所开具《提货通知单》之日起1</w:t>
      </w:r>
      <w:r>
        <w:rPr>
          <w:rFonts w:ascii="宋体" w:hAnsi="宋体" w:eastAsia="宋体" w:cs="宋体"/>
          <w:kern w:val="0"/>
          <w:sz w:val="28"/>
          <w:szCs w:val="28"/>
          <w:highlight w:val="none"/>
        </w:rPr>
        <w:t>0个工作日内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第三十五</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硅铁出库重量验收由仓库和提货人共同实施，具体办法参照入库重量验收规定。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硅铁出库时数量发生损耗造成短少的，仓库应当及时补足。不能及时补足的，仓库按照《提货通知单》开具日之前（含该日）硅铁期货最近交割月最高交割结算价核算短少商品价款，赔偿提货人。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硅铁出库时，提货人对商品质量有异议的，可以向交易所申请一次复检，并预交复检费用。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硅铁出库复检时，5%＜粒度偏差筛下物≤</w:t>
      </w:r>
      <w:r>
        <w:rPr>
          <w:rFonts w:ascii="宋体" w:hAnsi="宋体" w:eastAsia="宋体" w:cs="宋体"/>
          <w:kern w:val="0"/>
          <w:sz w:val="28"/>
          <w:szCs w:val="28"/>
          <w:highlight w:val="none"/>
        </w:rPr>
        <w:t>6%</w:t>
      </w:r>
      <w:r>
        <w:rPr>
          <w:rFonts w:hint="eastAsia" w:ascii="宋体" w:hAnsi="宋体" w:eastAsia="宋体" w:cs="宋体"/>
          <w:kern w:val="0"/>
          <w:sz w:val="28"/>
          <w:szCs w:val="28"/>
          <w:highlight w:val="none"/>
        </w:rPr>
        <w:t>的，视作合格，提货人不得拒绝接货；粒度偏差筛下物＞</w:t>
      </w:r>
      <w:r>
        <w:rPr>
          <w:rFonts w:ascii="宋体" w:hAnsi="宋体" w:eastAsia="宋体" w:cs="宋体"/>
          <w:kern w:val="0"/>
          <w:sz w:val="28"/>
          <w:szCs w:val="28"/>
          <w:highlight w:val="none"/>
        </w:rPr>
        <w:t>6%</w:t>
      </w:r>
      <w:r>
        <w:rPr>
          <w:rFonts w:hint="eastAsia" w:ascii="宋体" w:hAnsi="宋体" w:eastAsia="宋体" w:cs="宋体"/>
          <w:kern w:val="0"/>
          <w:sz w:val="28"/>
          <w:szCs w:val="28"/>
          <w:highlight w:val="none"/>
        </w:rPr>
        <w:t>的，标准仓单注册人或者仓库可以选择以下方式处理：</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（一）用符合入库标准的硅铁调换；</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（二）对提货人进行补偿。补偿金额</w:t>
      </w:r>
      <w:r>
        <w:rPr>
          <w:rFonts w:ascii="宋体" w:hAnsi="宋体" w:eastAsia="宋体" w:cs="宋体"/>
          <w:kern w:val="0"/>
          <w:sz w:val="28"/>
          <w:szCs w:val="28"/>
          <w:highlight w:val="none"/>
        </w:rPr>
        <w:t>=《提货通知单》开具日之前（含该日）硅铁期货最近交割月最高交割结算价×（复检</w:t>
      </w:r>
      <w:r>
        <w:rPr>
          <w:rFonts w:hint="eastAsia" w:ascii="宋体" w:hAnsi="宋体" w:eastAsia="宋体" w:cs="宋体"/>
          <w:kern w:val="0"/>
          <w:sz w:val="28"/>
          <w:szCs w:val="28"/>
          <w:highlight w:val="none"/>
        </w:rPr>
        <w:t>粒度偏差</w:t>
      </w:r>
      <w:r>
        <w:rPr>
          <w:rFonts w:ascii="宋体" w:hAnsi="宋体" w:eastAsia="宋体" w:cs="宋体"/>
          <w:kern w:val="0"/>
          <w:sz w:val="28"/>
          <w:szCs w:val="28"/>
          <w:highlight w:val="none"/>
        </w:rPr>
        <w:t>筛下物百分比-6%）×复检</w:t>
      </w:r>
      <w:r>
        <w:rPr>
          <w:rFonts w:hint="eastAsia" w:ascii="宋体" w:hAnsi="宋体" w:eastAsia="宋体" w:cs="宋体"/>
          <w:kern w:val="0"/>
          <w:sz w:val="28"/>
          <w:szCs w:val="28"/>
          <w:highlight w:val="none"/>
        </w:rPr>
        <w:t>商品</w:t>
      </w:r>
      <w:r>
        <w:rPr>
          <w:rFonts w:ascii="宋体" w:hAnsi="宋体" w:eastAsia="宋体" w:cs="宋体"/>
          <w:kern w:val="0"/>
          <w:sz w:val="28"/>
          <w:szCs w:val="28"/>
          <w:highlight w:val="none"/>
        </w:rPr>
        <w:t>数量×2。</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硅铁出库过程中，发现包装损坏、不适宜再次装卸及运输的，仓库应当免费提供包装物并重新灌包。</w:t>
      </w:r>
    </w:p>
    <w:p>
      <w:pPr>
        <w:tabs>
          <w:tab w:val="left" w:pos="1620"/>
        </w:tabs>
        <w:autoSpaceDE w:val="0"/>
        <w:autoSpaceDN w:val="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硅铁厂库允许注册标准仓单的最大数量由交易所确定，交易所可以根据情况予以调整。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硅铁厂库标准仓单的交货地点为提货人在厂库配送范围内选择的仓库，厂库配送范围由交易所另行公告。厂库应当承担硅铁运至买方车板前的相关费用，包括仓库收取的中转费用。仓库存在升贴水的，提货人与厂库可按照交易所规定的升贴水标准自行结算。</w:t>
      </w:r>
    </w:p>
    <w:p>
      <w:pPr>
        <w:ind w:firstLine="560" w:firstLineChars="200"/>
        <w:rPr>
          <w:rFonts w:ascii="宋体" w:hAnsi="宋体" w:eastAsia="宋体" w:cs="宋体"/>
          <w:dstrike/>
          <w:kern w:val="0"/>
          <w:sz w:val="28"/>
          <w:szCs w:val="28"/>
          <w:highlight w:val="none"/>
        </w:rPr>
      </w:pPr>
      <w:r>
        <w:rPr>
          <w:rFonts w:hint="eastAsia" w:ascii="宋体" w:hAnsi="宋体" w:eastAsia="宋体" w:cs="宋体"/>
          <w:kern w:val="0"/>
          <w:sz w:val="28"/>
          <w:szCs w:val="28"/>
          <w:highlight w:val="none"/>
        </w:rPr>
        <w:t>提货人和厂库协商一致的，可以在其他地点交货，具体交收事宜及相关费用由双方协商确定。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硅铁厂库标准仓单注销后，提货人应当在交易所开具《提货通知单》之日起20个工作日内，凭提货人身份证、提货人所在单位证明及《提货通知单》验证密码到厂库办理发货手续、确认商品质量、确定运输方式，并预交各项费用。</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自提货人与厂库联系发货之日起</w:t>
      </w:r>
      <w:r>
        <w:rPr>
          <w:rFonts w:ascii="宋体" w:hAnsi="宋体" w:eastAsia="宋体" w:cs="宋体"/>
          <w:kern w:val="0"/>
          <w:sz w:val="28"/>
          <w:szCs w:val="28"/>
          <w:highlight w:val="none"/>
        </w:rPr>
        <w:t>3个工作日内，双方应当就相关事项达成发货协议，包括交货地点、运输方式、发货速度、费用承担等</w:t>
      </w:r>
      <w:r>
        <w:rPr>
          <w:rFonts w:hint="eastAsia" w:ascii="宋体" w:hAnsi="宋体" w:eastAsia="宋体" w:cs="宋体"/>
          <w:kern w:val="0"/>
          <w:sz w:val="28"/>
          <w:szCs w:val="28"/>
          <w:highlight w:val="none"/>
        </w:rPr>
        <w:t>。双方无法就发货速度协商一致的，厂库应当按照交易所批准的日发货速度发货。在仓库交货的，厂库、提货人应当及时与仓库联系，安排交收事宜。</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厂库采用汽车运输的，应当在达成发货协议之日起3个日历日内发货；采用火车、轮船运输的，应当在达成发货协议之日起15个日历日内发货。发货后，厂库应当将</w:t>
      </w:r>
      <w:r>
        <w:rPr>
          <w:rFonts w:hint="eastAsia" w:ascii="宋体" w:hAnsi="宋体" w:eastAsia="宋体" w:cs="宋体"/>
          <w:kern w:val="0"/>
          <w:sz w:val="28"/>
          <w:szCs w:val="32"/>
          <w:highlight w:val="none"/>
        </w:rPr>
        <w:t>相应单据</w:t>
      </w:r>
      <w:r>
        <w:rPr>
          <w:rFonts w:hint="eastAsia" w:ascii="宋体" w:hAnsi="宋体" w:eastAsia="宋体" w:cs="宋体"/>
          <w:kern w:val="0"/>
          <w:sz w:val="28"/>
          <w:szCs w:val="28"/>
          <w:highlight w:val="none"/>
        </w:rPr>
        <w:t>及时交付提货人及拟交货的仓库。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提货人应当在每批货物运达交货仓库之日起（不含该日）3个日历日内完成货物验收、提货或者存储手续，逾期未提货产生的费用及质量责任由提货人自行承担。</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28"/>
          <w:highlight w:val="none"/>
        </w:rPr>
        <w:t>硅铁在仓库交货的，重量验收由仓库实施，相关费用由厂库承担；在其他地点交货的，重量验收实施及费用分担由提货人和厂库协商确定。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硅铁交货数量发生短少的，厂库应当及时补足。不能补足的，厂库应当按照《提货通知单》开具日之前（含该日）硅铁期货最近交割月最高交割结算价核算短少商品价款，赔偿提货人。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硅铁交货时，厂库应当向提货人提供符合交割标准的</w:t>
      </w:r>
      <w:r>
        <w:rPr>
          <w:rFonts w:hint="eastAsia" w:ascii="Times New Roman" w:hAnsi="Times New Roman" w:eastAsia="宋体" w:cs="Times New Roman"/>
          <w:sz w:val="28"/>
          <w:szCs w:val="28"/>
          <w:highlight w:val="none"/>
        </w:rPr>
        <w:t>《产品质量证明书》。</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对硅铁重量、质量有异议的，由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和厂库协商解决；协商不成的，可以向交易所申请一次复检，并由申请方预交复检及相关费用。重量异议应当在硅铁交货前提出；质量异议应当在硅铁交货之日起5个工作日内提出。</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因厂库原因在约定的最后发货日起5个日历日内仍不能完成所有商品发货的，提货人可以要求厂库终止发货并支付赔偿金。赔偿金额=硅铁期货最近交割月最高交割结算价×应发未发的商品数量×120%。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color w:val="000000"/>
          <w:kern w:val="0"/>
          <w:sz w:val="28"/>
          <w:szCs w:val="28"/>
          <w:highlight w:val="none"/>
        </w:rPr>
        <w:t>硅铁期货合约最低交易保证金标准为合约价值的5%。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硅铁期货合约交易保证金标准见下表：</w:t>
      </w:r>
    </w:p>
    <w:tbl>
      <w:tblPr>
        <w:tblStyle w:val="6"/>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529"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kern w:val="0"/>
          <w:sz w:val="28"/>
          <w:szCs w:val="28"/>
          <w:highlight w:val="none"/>
        </w:rPr>
        <w:t>硅铁期货合约每日涨跌停板幅度为前一交易日结算价的±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kern w:val="0"/>
          <w:sz w:val="28"/>
          <w:szCs w:val="28"/>
          <w:highlight w:val="none"/>
        </w:rPr>
        <w:t>硅铁</w:t>
      </w:r>
      <w:r>
        <w:rPr>
          <w:rFonts w:hint="eastAsia" w:ascii="宋体" w:hAnsi="宋体" w:eastAsia="宋体" w:cs="宋体"/>
          <w:color w:val="000000"/>
          <w:kern w:val="0"/>
          <w:sz w:val="28"/>
          <w:szCs w:val="28"/>
          <w:highlight w:val="none"/>
        </w:rPr>
        <w:t>期货合约限仓标准见下表：</w:t>
      </w:r>
    </w:p>
    <w:tbl>
      <w:tblPr>
        <w:tblStyle w:val="5"/>
        <w:tblW w:w="8505" w:type="dxa"/>
        <w:tblInd w:w="108" w:type="dxa"/>
        <w:shd w:val="clear" w:color="auto" w:fill="FFFFFF"/>
        <w:tblLayout w:type="autofit"/>
        <w:tblCellMar>
          <w:top w:w="15" w:type="dxa"/>
          <w:left w:w="15" w:type="dxa"/>
          <w:bottom w:w="15" w:type="dxa"/>
          <w:right w:w="15" w:type="dxa"/>
        </w:tblCellMar>
      </w:tblPr>
      <w:tblGrid>
        <w:gridCol w:w="3402"/>
        <w:gridCol w:w="5103"/>
      </w:tblGrid>
      <w:tr>
        <w:tblPrEx>
          <w:tblCellMar>
            <w:top w:w="15" w:type="dxa"/>
            <w:left w:w="15" w:type="dxa"/>
            <w:bottom w:w="15" w:type="dxa"/>
            <w:right w:w="15" w:type="dxa"/>
          </w:tblCellMar>
        </w:tblPrEx>
        <w:tc>
          <w:tcPr>
            <w:tcW w:w="3402"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交易时间段</w:t>
            </w:r>
          </w:p>
        </w:tc>
        <w:tc>
          <w:tcPr>
            <w:tcW w:w="5103"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非期货公司会员和客户的最大单边持仓量（手）</w:t>
            </w:r>
          </w:p>
        </w:tc>
      </w:tr>
      <w:tr>
        <w:tblPrEx>
          <w:shd w:val="clear" w:color="auto" w:fill="FFFFFF"/>
          <w:tblCellMar>
            <w:top w:w="15" w:type="dxa"/>
            <w:left w:w="15" w:type="dxa"/>
            <w:bottom w:w="15" w:type="dxa"/>
            <w:right w:w="15" w:type="dxa"/>
          </w:tblCellMar>
        </w:tblPrEx>
        <w:trPr>
          <w:trHeight w:val="90" w:hRule="atLeast"/>
        </w:trPr>
        <w:tc>
          <w:tcPr>
            <w:tcW w:w="3402"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自合约挂牌至交割月前一个月第15个日历日期间的交易日</w:t>
            </w:r>
          </w:p>
        </w:tc>
        <w:tc>
          <w:tcPr>
            <w:tcW w:w="5103"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10000</w:t>
            </w:r>
          </w:p>
        </w:tc>
      </w:tr>
      <w:tr>
        <w:tblPrEx>
          <w:tblCellMar>
            <w:top w:w="15" w:type="dxa"/>
            <w:left w:w="15" w:type="dxa"/>
            <w:bottom w:w="15" w:type="dxa"/>
            <w:right w:w="15" w:type="dxa"/>
          </w:tblCellMar>
        </w:tblPrEx>
        <w:trPr>
          <w:trHeight w:val="90" w:hRule="atLeast"/>
        </w:trPr>
        <w:tc>
          <w:tcPr>
            <w:tcW w:w="3402"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2000</w:t>
            </w:r>
          </w:p>
        </w:tc>
      </w:tr>
      <w:tr>
        <w:tblPrEx>
          <w:tblCellMar>
            <w:top w:w="15" w:type="dxa"/>
            <w:left w:w="15" w:type="dxa"/>
            <w:bottom w:w="15" w:type="dxa"/>
            <w:right w:w="15" w:type="dxa"/>
          </w:tblCellMar>
        </w:tblPrEx>
        <w:trPr>
          <w:trHeight w:val="411" w:hRule="atLeast"/>
        </w:trPr>
        <w:tc>
          <w:tcPr>
            <w:tcW w:w="3402"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交割月份</w:t>
            </w:r>
          </w:p>
        </w:tc>
        <w:tc>
          <w:tcPr>
            <w:tcW w:w="5103"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top"/>
          </w:tcPr>
          <w:p>
            <w:pPr>
              <w:tabs>
                <w:tab w:val="left" w:pos="1620"/>
              </w:tabs>
              <w:autoSpaceDE w:val="0"/>
              <w:autoSpaceDN w:val="0"/>
              <w:jc w:val="center"/>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1000</w:t>
            </w:r>
          </w:p>
          <w:p>
            <w:pPr>
              <w:tabs>
                <w:tab w:val="left" w:pos="1620"/>
              </w:tabs>
              <w:autoSpaceDE w:val="0"/>
              <w:autoSpaceDN w:val="0"/>
              <w:jc w:val="center"/>
              <w:rPr>
                <w:rFonts w:hint="default" w:ascii="宋体" w:hAnsi="宋体" w:eastAsia="宋体" w:cs="宋体"/>
                <w:color w:val="000000"/>
                <w:kern w:val="0"/>
                <w:sz w:val="24"/>
                <w:szCs w:val="24"/>
                <w:highlight w:val="none"/>
              </w:rPr>
            </w:pPr>
            <w:r>
              <w:rPr>
                <w:rFonts w:hint="default"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宋体"/>
          <w:color w:val="000000"/>
          <w:kern w:val="0"/>
          <w:sz w:val="28"/>
          <w:szCs w:val="28"/>
          <w:highlight w:val="none"/>
        </w:rPr>
        <w:t>根据《郑州商品交易所期货交易风险控制管理办法》等有关规定，交易所对硅铁期货合约交易保证金标准、涨跌停板幅度进行调整的，按照相关标准执行。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第五十四条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11</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7</w:t>
      </w:r>
      <w:r>
        <w:rPr>
          <w:rFonts w:hint="eastAsia" w:ascii="宋体" w:hAnsi="宋体" w:eastAsia="宋体" w:cs="宋体"/>
          <w:color w:val="000000"/>
          <w:kern w:val="0"/>
          <w:sz w:val="28"/>
          <w:szCs w:val="28"/>
          <w:highlight w:val="none"/>
          <w:lang w:val="en-US" w:eastAsia="zh-CN"/>
        </w:rPr>
        <w:t>日</w:t>
      </w:r>
      <w:r>
        <w:rPr>
          <w:rFonts w:hint="eastAsia" w:ascii="宋体" w:hAnsi="宋体" w:eastAsia="宋体" w:cs="宋体"/>
          <w:color w:val="000000"/>
          <w:kern w:val="0"/>
          <w:sz w:val="28"/>
          <w:szCs w:val="28"/>
          <w:highlight w:val="none"/>
        </w:rPr>
        <w:t>起施行。</w:t>
      </w:r>
    </w:p>
    <w:p>
      <w:pPr>
        <w:rPr>
          <w:rFonts w:ascii="仿宋" w:hAnsi="仿宋" w:eastAsia="仿宋"/>
          <w:sz w:val="32"/>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D951FEB"/>
    <w:rsid w:val="167396B7"/>
    <w:rsid w:val="17AD7A67"/>
    <w:rsid w:val="1D9EC0E4"/>
    <w:rsid w:val="3998203D"/>
    <w:rsid w:val="3ADF0F94"/>
    <w:rsid w:val="3FFDA71F"/>
    <w:rsid w:val="4D4B96AF"/>
    <w:rsid w:val="4EFFA964"/>
    <w:rsid w:val="55FDBEAF"/>
    <w:rsid w:val="57E57D60"/>
    <w:rsid w:val="5AD3D141"/>
    <w:rsid w:val="5BD34FF2"/>
    <w:rsid w:val="5C7BF285"/>
    <w:rsid w:val="5F6D5D4A"/>
    <w:rsid w:val="67CD5CF4"/>
    <w:rsid w:val="6E1B5024"/>
    <w:rsid w:val="78031D0F"/>
    <w:rsid w:val="79AD2A79"/>
    <w:rsid w:val="7B351E47"/>
    <w:rsid w:val="7D4FA5EE"/>
    <w:rsid w:val="7EFE287D"/>
    <w:rsid w:val="7F6304BB"/>
    <w:rsid w:val="A7DAA132"/>
    <w:rsid w:val="AFAFF778"/>
    <w:rsid w:val="BCFF3EB4"/>
    <w:rsid w:val="C5EF629F"/>
    <w:rsid w:val="DBFD0DA2"/>
    <w:rsid w:val="DDBF5167"/>
    <w:rsid w:val="DDDFAD32"/>
    <w:rsid w:val="DFBF2860"/>
    <w:rsid w:val="F3FFC39C"/>
    <w:rsid w:val="F5FB6EC4"/>
    <w:rsid w:val="F7BB0F44"/>
    <w:rsid w:val="F9B61800"/>
    <w:rsid w:val="FBB6C4B4"/>
    <w:rsid w:val="FBDF6598"/>
    <w:rsid w:val="FDFF9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table" w:customStyle="1" w:styleId="13">
    <w:name w:val="网格型1"/>
    <w:basedOn w:val="5"/>
    <w:qFormat/>
    <w:uiPriority w:val="59"/>
    <w:pPr>
      <w:jc w:val="both"/>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2019-09-20T06:10:00Z</dcterms:created>
  <dc:creator>CN=李小鹏/OU=办公室/O=CZCE</dc:creator>
  <cp:lastModifiedBy>张雅杰</cp:lastModifiedBy>
  <dcterms:modified xsi:type="dcterms:W3CDTF">2024-11-04T15:31:13Z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1A74164DAFE84797BDB2CC6CAEE4BCD0</vt:lpwstr>
  </property>
</Properties>
</file>