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autoSpaceDE w:val="0"/>
        <w:autoSpaceDN w:val="0"/>
        <w:jc w:val="left"/>
        <w:outlineLvl w:val="1"/>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tabs>
          <w:tab w:val="left" w:pos="1620"/>
        </w:tabs>
        <w:autoSpaceDE w:val="0"/>
        <w:autoSpaceDN w:val="0"/>
        <w:jc w:val="center"/>
        <w:outlineLvl w:val="1"/>
        <w:rPr>
          <w:rFonts w:ascii="宋体" w:hAnsi="宋体" w:eastAsia="宋体" w:cs="Times New Roman"/>
          <w:b/>
          <w:sz w:val="44"/>
          <w:szCs w:val="44"/>
          <w:highlight w:val="none"/>
        </w:rPr>
      </w:pPr>
      <w:r>
        <w:rPr>
          <w:rFonts w:hint="eastAsia" w:ascii="宋体" w:hAnsi="宋体" w:eastAsia="宋体" w:cs="Times New Roman"/>
          <w:b/>
          <w:sz w:val="44"/>
          <w:szCs w:val="44"/>
          <w:highlight w:val="none"/>
        </w:rPr>
        <w:t>郑州商品交易所锰硅期货业务细则</w:t>
      </w:r>
    </w:p>
    <w:p>
      <w:pPr>
        <w:spacing w:before="240" w:after="240"/>
        <w:ind w:firstLine="480" w:firstLineChars="200"/>
        <w:rPr>
          <w:rFonts w:hint="default" w:ascii="宋体" w:hAnsi="宋体" w:cs="宋体"/>
          <w:b w:val="0"/>
          <w:bCs w:val="0"/>
          <w:color w:val="auto"/>
          <w:kern w:val="0"/>
          <w:sz w:val="24"/>
          <w:highlight w:val="none"/>
          <w:shd w:val="clear" w:color="auto" w:fill="FFFFFF"/>
        </w:rPr>
      </w:pPr>
      <w:r>
        <w:rPr>
          <w:rFonts w:hint="eastAsia" w:ascii="宋体" w:hAnsi="宋体"/>
          <w:sz w:val="24"/>
          <w:highlight w:val="none"/>
        </w:rPr>
        <w:t>（</w:t>
      </w:r>
      <w:r>
        <w:rPr>
          <w:rFonts w:hint="eastAsia" w:ascii="宋体" w:hAnsi="宋体" w:cs="宋体"/>
          <w:b w:val="0"/>
          <w:bCs w:val="0"/>
          <w:color w:val="auto"/>
          <w:kern w:val="0"/>
          <w:sz w:val="24"/>
          <w:highlight w:val="none"/>
          <w:shd w:val="clear" w:color="auto" w:fill="FFFFFF"/>
          <w:lang w:eastAsia="zh-CN"/>
        </w:rPr>
        <w:t>2024年1月4日</w:t>
      </w:r>
      <w:r>
        <w:rPr>
          <w:rFonts w:hint="eastAsia" w:ascii="宋体" w:hAnsi="宋体" w:cs="宋体"/>
          <w:b w:val="0"/>
          <w:bCs w:val="0"/>
          <w:color w:val="auto"/>
          <w:kern w:val="0"/>
          <w:sz w:val="24"/>
          <w:highlight w:val="none"/>
          <w:shd w:val="clear" w:color="auto" w:fill="FFFFFF"/>
        </w:rPr>
        <w:t>郑州商品交易所第八届理事会</w:t>
      </w:r>
      <w:r>
        <w:rPr>
          <w:rFonts w:hint="eastAsia" w:ascii="宋体" w:hAnsi="宋体" w:cs="宋体"/>
          <w:b w:val="0"/>
          <w:bCs w:val="0"/>
          <w:color w:val="auto"/>
          <w:kern w:val="0"/>
          <w:sz w:val="24"/>
          <w:highlight w:val="none"/>
          <w:shd w:val="clear" w:color="auto" w:fill="FFFFFF"/>
          <w:lang w:val="en-US" w:eastAsia="zh-CN"/>
        </w:rPr>
        <w:t>第十次会议审议通过，2024年2月6日〔2024〕16号公告发布，</w:t>
      </w:r>
      <w:r>
        <w:rPr>
          <w:rFonts w:hint="eastAsia" w:ascii="宋体" w:hAnsi="宋体" w:cs="宋体"/>
          <w:b w:val="0"/>
          <w:bCs w:val="0"/>
          <w:color w:val="auto"/>
          <w:kern w:val="0"/>
          <w:sz w:val="24"/>
          <w:highlight w:val="none"/>
          <w:shd w:val="clear" w:color="auto" w:fill="FFFFFF"/>
        </w:rPr>
        <w:t>自</w:t>
      </w:r>
      <w:r>
        <w:rPr>
          <w:rFonts w:hint="eastAsia" w:ascii="宋体" w:hAnsi="宋体" w:cs="宋体"/>
          <w:b w:val="0"/>
          <w:bCs w:val="0"/>
          <w:color w:val="auto"/>
          <w:kern w:val="0"/>
          <w:sz w:val="24"/>
          <w:highlight w:val="none"/>
          <w:shd w:val="clear" w:color="auto" w:fill="FFFFFF"/>
          <w:lang w:eastAsia="zh-CN"/>
        </w:rPr>
        <w:t>2024年2月6日</w:t>
      </w:r>
      <w:r>
        <w:rPr>
          <w:rFonts w:hint="eastAsia" w:ascii="宋体" w:hAnsi="宋体" w:cs="宋体"/>
          <w:b w:val="0"/>
          <w:bCs w:val="0"/>
          <w:color w:val="auto"/>
          <w:kern w:val="0"/>
          <w:sz w:val="24"/>
          <w:highlight w:val="none"/>
          <w:shd w:val="clear" w:color="auto" w:fill="FFFFFF"/>
        </w:rPr>
        <w:t>起施行</w:t>
      </w:r>
      <w:r>
        <w:rPr>
          <w:rFonts w:hint="eastAsia" w:ascii="宋体" w:hAnsi="宋体" w:cs="宋体"/>
          <w:b w:val="0"/>
          <w:bCs w:val="0"/>
          <w:color w:val="auto"/>
          <w:kern w:val="0"/>
          <w:sz w:val="24"/>
          <w:highlight w:val="none"/>
          <w:shd w:val="clear" w:color="auto" w:fill="FFFFFF"/>
          <w:lang w:eastAsia="zh-CN"/>
        </w:rPr>
        <w:t>；</w:t>
      </w:r>
      <w:r>
        <w:rPr>
          <w:rFonts w:hint="default" w:ascii="宋体" w:hAnsi="宋体" w:cs="宋体"/>
          <w:b w:val="0"/>
          <w:bCs w:val="0"/>
          <w:color w:val="auto"/>
          <w:kern w:val="0"/>
          <w:sz w:val="24"/>
          <w:highlight w:val="none"/>
          <w:shd w:val="clear" w:color="auto" w:fill="FFFFFF"/>
          <w:lang w:val="en-US" w:eastAsia="zh-CN"/>
        </w:rPr>
        <w:t>2024年10月8日郑州商品交易所第八届理事会第十八次会议审议通过，</w:t>
      </w:r>
      <w:r>
        <w:rPr>
          <w:rFonts w:hint="eastAsia" w:ascii="宋体" w:hAnsi="宋体" w:cs="宋体"/>
          <w:b w:val="0"/>
          <w:bCs w:val="0"/>
          <w:color w:val="auto"/>
          <w:kern w:val="0"/>
          <w:sz w:val="24"/>
          <w:highlight w:val="none"/>
          <w:shd w:val="clear" w:color="auto" w:fill="FFFFFF"/>
          <w:lang w:val="en-US" w:eastAsia="zh-CN"/>
        </w:rPr>
        <w:t>2024年11月4日〔2024〕147号公告发布，</w:t>
      </w:r>
      <w:r>
        <w:rPr>
          <w:rFonts w:hint="default" w:ascii="宋体" w:hAnsi="宋体" w:eastAsia="宋体" w:cs="宋体"/>
          <w:color w:val="auto"/>
          <w:kern w:val="0"/>
          <w:sz w:val="24"/>
          <w:szCs w:val="24"/>
          <w:highlight w:val="none"/>
          <w:shd w:val="clear" w:color="auto" w:fill="FFFFFF"/>
          <w:lang w:eastAsia="zh-CN"/>
        </w:rPr>
        <w:t>适用于</w:t>
      </w:r>
      <w:r>
        <w:rPr>
          <w:rFonts w:hint="eastAsia" w:ascii="宋体" w:hAnsi="宋体" w:cs="宋体"/>
          <w:color w:val="auto"/>
          <w:kern w:val="0"/>
          <w:sz w:val="24"/>
          <w:szCs w:val="24"/>
          <w:highlight w:val="none"/>
          <w:shd w:val="clear" w:color="auto" w:fill="FFFFFF"/>
          <w:lang w:eastAsia="zh-CN"/>
        </w:rPr>
        <w:t>锰硅</w:t>
      </w:r>
      <w:r>
        <w:rPr>
          <w:rFonts w:hint="default" w:ascii="宋体" w:hAnsi="宋体" w:eastAsia="宋体" w:cs="宋体"/>
          <w:color w:val="auto"/>
          <w:kern w:val="0"/>
          <w:sz w:val="24"/>
          <w:szCs w:val="24"/>
          <w:highlight w:val="none"/>
          <w:shd w:val="clear" w:color="auto" w:fill="FFFFFF"/>
          <w:lang w:eastAsia="zh-CN"/>
        </w:rPr>
        <w:t>期货</w:t>
      </w:r>
      <w:r>
        <w:rPr>
          <w:rFonts w:hint="default" w:ascii="宋体" w:hAnsi="宋体" w:eastAsia="宋体" w:cs="宋体"/>
          <w:color w:val="auto"/>
          <w:kern w:val="0"/>
          <w:sz w:val="24"/>
          <w:szCs w:val="24"/>
          <w:highlight w:val="none"/>
          <w:shd w:val="clear" w:color="auto" w:fill="FFFFFF"/>
          <w:lang w:val="en-US" w:eastAsia="zh-CN"/>
        </w:rPr>
        <w:t>2502及后续合约，自2024年</w:t>
      </w:r>
      <w:r>
        <w:rPr>
          <w:rFonts w:hint="eastAsia" w:ascii="宋体" w:hAnsi="宋体" w:cs="宋体"/>
          <w:color w:val="auto"/>
          <w:kern w:val="0"/>
          <w:sz w:val="24"/>
          <w:szCs w:val="24"/>
          <w:highlight w:val="none"/>
          <w:shd w:val="clear" w:color="auto" w:fill="FFFFFF"/>
          <w:lang w:val="en-US" w:eastAsia="zh-CN"/>
        </w:rPr>
        <w:t>11</w:t>
      </w:r>
      <w:r>
        <w:rPr>
          <w:rFonts w:hint="default" w:ascii="宋体" w:hAnsi="宋体" w:eastAsia="宋体" w:cs="宋体"/>
          <w:color w:val="auto"/>
          <w:kern w:val="0"/>
          <w:sz w:val="24"/>
          <w:szCs w:val="24"/>
          <w:highlight w:val="none"/>
          <w:shd w:val="clear" w:color="auto" w:fill="FFFFFF"/>
          <w:lang w:val="en-US" w:eastAsia="zh-CN"/>
        </w:rPr>
        <w:t>月</w:t>
      </w:r>
      <w:r>
        <w:rPr>
          <w:rFonts w:hint="eastAsia" w:ascii="宋体" w:hAnsi="宋体" w:cs="宋体"/>
          <w:color w:val="auto"/>
          <w:kern w:val="0"/>
          <w:sz w:val="24"/>
          <w:szCs w:val="24"/>
          <w:highlight w:val="none"/>
          <w:shd w:val="clear" w:color="auto" w:fill="FFFFFF"/>
          <w:lang w:val="en-US" w:eastAsia="zh-CN"/>
        </w:rPr>
        <w:t>7</w:t>
      </w:r>
      <w:r>
        <w:rPr>
          <w:rFonts w:hint="default" w:ascii="宋体" w:hAnsi="宋体" w:eastAsia="宋体" w:cs="宋体"/>
          <w:color w:val="auto"/>
          <w:kern w:val="0"/>
          <w:sz w:val="24"/>
          <w:szCs w:val="24"/>
          <w:highlight w:val="none"/>
          <w:shd w:val="clear" w:color="auto" w:fill="FFFFFF"/>
          <w:lang w:val="en-US" w:eastAsia="zh-CN"/>
        </w:rPr>
        <w:t>日起施行</w:t>
      </w:r>
      <w:r>
        <w:rPr>
          <w:rFonts w:hint="default" w:ascii="宋体" w:hAnsi="宋体" w:cs="宋体"/>
          <w:b w:val="0"/>
          <w:bCs w:val="0"/>
          <w:color w:val="auto"/>
          <w:kern w:val="0"/>
          <w:sz w:val="24"/>
          <w:highlight w:val="none"/>
          <w:shd w:val="clear" w:color="auto" w:fill="FFFFFF"/>
        </w:rPr>
        <w:t>）</w:t>
      </w:r>
    </w:p>
    <w:p>
      <w:pPr>
        <w:pStyle w:val="12"/>
        <w:numPr>
          <w:ilvl w:val="0"/>
          <w:numId w:val="1"/>
        </w:numPr>
        <w:tabs>
          <w:tab w:val="left" w:pos="1620"/>
        </w:tabs>
        <w:autoSpaceDE w:val="0"/>
        <w:autoSpaceDN w:val="0"/>
        <w:ind w:firstLineChars="0"/>
        <w:jc w:val="center"/>
        <w:rPr>
          <w:rFonts w:ascii="黑体" w:hAnsi="黑体" w:eastAsia="黑体" w:cs="Times New Roman"/>
          <w:color w:val="000000"/>
          <w:sz w:val="30"/>
          <w:szCs w:val="30"/>
          <w:highlight w:val="none"/>
        </w:rPr>
      </w:pP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eastAsia="宋体" w:cs="宋体"/>
          <w:color w:val="000000"/>
          <w:kern w:val="0"/>
          <w:sz w:val="28"/>
          <w:szCs w:val="28"/>
          <w:highlight w:val="none"/>
        </w:rPr>
        <w:t>为了规范郑州商品交易所（以下简称交易所）锰硅期货相关业务，根据《郑州商品交易所交易规则》及锰硅期货合约，制定本细则。</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eastAsia="宋体" w:cs="宋体"/>
          <w:color w:val="000000"/>
          <w:kern w:val="0"/>
          <w:sz w:val="28"/>
          <w:szCs w:val="28"/>
          <w:highlight w:val="none"/>
        </w:rPr>
        <w:t>交易所、会员、客户、交割仓库（以下简称仓库）、交割厂库（以下简称厂库）、指定质检机构及期货市场其他参与者应当遵守本细则。</w:t>
      </w:r>
    </w:p>
    <w:p>
      <w:pPr>
        <w:pStyle w:val="12"/>
        <w:numPr>
          <w:ilvl w:val="0"/>
          <w:numId w:val="1"/>
        </w:numPr>
        <w:tabs>
          <w:tab w:val="left" w:pos="1620"/>
        </w:tabs>
        <w:autoSpaceDE w:val="0"/>
        <w:autoSpaceDN w:val="0"/>
        <w:ind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eastAsia="宋体" w:cs="宋体"/>
          <w:color w:val="000000"/>
          <w:kern w:val="0"/>
          <w:sz w:val="28"/>
          <w:szCs w:val="28"/>
          <w:highlight w:val="none"/>
        </w:rPr>
        <w:t>锰硅期货合约的交易单位为5吨/手。</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eastAsia="宋体" w:cs="宋体"/>
          <w:color w:val="000000"/>
          <w:kern w:val="0"/>
          <w:sz w:val="28"/>
          <w:szCs w:val="28"/>
          <w:highlight w:val="none"/>
        </w:rPr>
        <w:t>锰硅期货合约的报价单位为元（人民币）/吨。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eastAsia="宋体" w:cs="宋体"/>
          <w:color w:val="000000"/>
          <w:kern w:val="0"/>
          <w:sz w:val="28"/>
          <w:szCs w:val="28"/>
          <w:highlight w:val="none"/>
        </w:rPr>
        <w:t>锰硅期货合约的最小变动价位为2元/吨。</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eastAsia="宋体" w:cs="宋体"/>
          <w:color w:val="000000"/>
          <w:kern w:val="0"/>
          <w:sz w:val="28"/>
          <w:szCs w:val="28"/>
          <w:highlight w:val="none"/>
        </w:rPr>
        <w:t>锰硅期货合约的合约交割月份为1至12月。</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eastAsia="宋体" w:cs="宋体"/>
          <w:color w:val="000000"/>
          <w:kern w:val="0"/>
          <w:sz w:val="28"/>
          <w:szCs w:val="28"/>
          <w:highlight w:val="none"/>
        </w:rPr>
        <w:t>锰硅</w:t>
      </w:r>
      <w:r>
        <w:rPr>
          <w:rFonts w:ascii="宋体" w:hAnsi="宋体" w:eastAsia="宋体" w:cs="宋体"/>
          <w:color w:val="000000"/>
          <w:kern w:val="0"/>
          <w:sz w:val="28"/>
          <w:szCs w:val="28"/>
          <w:highlight w:val="none"/>
        </w:rPr>
        <w:t>期货</w:t>
      </w:r>
      <w:r>
        <w:rPr>
          <w:rFonts w:hint="eastAsia" w:ascii="宋体" w:hAnsi="宋体" w:eastAsia="宋体" w:cs="宋体"/>
          <w:color w:val="000000"/>
          <w:kern w:val="0"/>
          <w:sz w:val="28"/>
          <w:szCs w:val="28"/>
          <w:highlight w:val="none"/>
        </w:rPr>
        <w:t>合约交易指令</w:t>
      </w:r>
      <w:r>
        <w:rPr>
          <w:rFonts w:hint="eastAsia" w:ascii="Times New Roman" w:hAnsi="Times New Roman" w:eastAsia="宋体" w:cs="Times New Roman"/>
          <w:sz w:val="28"/>
          <w:szCs w:val="28"/>
          <w:highlight w:val="none"/>
        </w:rPr>
        <w:t>每次最小下单量为</w:t>
      </w:r>
      <w:r>
        <w:rPr>
          <w:rFonts w:ascii="宋体" w:hAnsi="宋体" w:cs="Times New Roman"/>
          <w:sz w:val="28"/>
          <w:szCs w:val="28"/>
          <w:highlight w:val="none"/>
        </w:rPr>
        <w:t>1</w:t>
      </w:r>
      <w:r>
        <w:rPr>
          <w:rFonts w:hint="eastAsia" w:ascii="Times New Roman" w:hAnsi="Times New Roman" w:eastAsia="宋体" w:cs="Times New Roman"/>
          <w:sz w:val="28"/>
          <w:szCs w:val="28"/>
          <w:highlight w:val="none"/>
        </w:rPr>
        <w:t>手，</w:t>
      </w:r>
      <w:r>
        <w:rPr>
          <w:rFonts w:hint="eastAsia" w:ascii="宋体" w:hAnsi="宋体" w:eastAsia="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sz w:val="28"/>
          <w:szCs w:val="28"/>
          <w:highlight w:val="none"/>
        </w:rPr>
        <w:t>交易所可以根据市场情况，对锰硅期货合约交易指令每次最小下单量、每次最大下单量进行调整，具体标准由交易所另行公布。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锰硅期货合约交易时间为上午9:00—11:30，下午13:30—15:00；其中，上午10:15—10:30为休息时间。</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交易所另行公告锰硅期货合约开展夜盘交易的，以交易所公告为准。交易所可以根据市场情况，暂停、取消锰硅期货合约夜盘交易或者对夜盘交易时间进行调整，具体由交易所另行公告。</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eastAsia="宋体" w:cs="宋体"/>
          <w:color w:val="000000"/>
          <w:kern w:val="0"/>
          <w:sz w:val="28"/>
          <w:szCs w:val="28"/>
          <w:highlight w:val="none"/>
        </w:rPr>
        <w:t>锰硅期货合约的最后交易日为合约交割月份的第10个交易日。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eastAsia="宋体" w:cs="宋体"/>
          <w:color w:val="000000"/>
          <w:kern w:val="0"/>
          <w:sz w:val="28"/>
          <w:szCs w:val="28"/>
          <w:highlight w:val="none"/>
        </w:rPr>
        <w:t>锰硅期货合约的交易代码为SM</w:t>
      </w:r>
      <w:r>
        <w:rPr>
          <w:rFonts w:ascii="宋体" w:hAnsi="宋体" w:eastAsia="宋体" w:cs="宋体"/>
          <w:color w:val="000000"/>
          <w:kern w:val="0"/>
          <w:sz w:val="28"/>
          <w:szCs w:val="28"/>
          <w:highlight w:val="none"/>
        </w:rPr>
        <w:t>。</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第一节 一般规定</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eastAsia="宋体" w:cs="宋体"/>
          <w:color w:val="000000"/>
          <w:kern w:val="0"/>
          <w:sz w:val="28"/>
          <w:szCs w:val="28"/>
          <w:highlight w:val="none"/>
        </w:rPr>
        <w:t>锰硅期货适用期货转现货、仓库标准仓单交割和厂库标准仓单交割。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锰硅期货滚动交割的配对方式为响应配对。</w:t>
      </w:r>
    </w:p>
    <w:p>
      <w:pPr>
        <w:tabs>
          <w:tab w:val="left" w:pos="1620"/>
        </w:tabs>
        <w:autoSpaceDE w:val="0"/>
        <w:autoSpaceDN w:val="0"/>
        <w:ind w:firstLine="560" w:firstLineChars="200"/>
        <w:rPr>
          <w:rFonts w:ascii="楷体" w:hAnsi="楷体" w:eastAsia="楷体" w:cs="宋体"/>
          <w:kern w:val="0"/>
          <w:sz w:val="24"/>
          <w:szCs w:val="24"/>
          <w:highlight w:val="none"/>
        </w:rPr>
      </w:pPr>
      <w:r>
        <w:rPr>
          <w:rFonts w:hint="eastAsia" w:ascii="宋体" w:hAnsi="宋体" w:eastAsia="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eastAsia="宋体" w:cs="宋体"/>
          <w:color w:val="000000"/>
          <w:kern w:val="0"/>
          <w:sz w:val="28"/>
          <w:szCs w:val="28"/>
          <w:highlight w:val="none"/>
        </w:rPr>
        <w:t>锰硅期货的交割单位为</w:t>
      </w:r>
      <w:r>
        <w:rPr>
          <w:rFonts w:hint="eastAsia" w:ascii="宋体" w:hAnsi="宋体" w:eastAsia="宋体" w:cs="宋体"/>
          <w:kern w:val="0"/>
          <w:sz w:val="28"/>
          <w:szCs w:val="28"/>
          <w:highlight w:val="none"/>
        </w:rPr>
        <w:t>5吨（净重）。</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eastAsia="宋体" w:cs="宋体"/>
          <w:color w:val="000000"/>
          <w:kern w:val="0"/>
          <w:sz w:val="28"/>
          <w:szCs w:val="28"/>
          <w:highlight w:val="none"/>
        </w:rPr>
        <w:t>锰硅期货合约的最后交割日为合约交割月份的第13个交易日。</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eastAsia="宋体" w:cs="宋体"/>
          <w:color w:val="000000"/>
          <w:kern w:val="0"/>
          <w:sz w:val="28"/>
          <w:szCs w:val="28"/>
          <w:highlight w:val="none"/>
        </w:rPr>
        <w:t>锰硅期货标准仓单可以分为仓库标准仓单和厂库标准仓单。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锰硅期货标准仓单为非通用标准仓单。</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eastAsia="宋体" w:cs="宋体"/>
          <w:color w:val="000000"/>
          <w:kern w:val="0"/>
          <w:sz w:val="28"/>
          <w:szCs w:val="28"/>
          <w:highlight w:val="none"/>
        </w:rPr>
        <w:t>每年10月第15个交易日之前（含该日）注册的锰硅期货标准仓单，应当在当年</w:t>
      </w:r>
      <w:r>
        <w:rPr>
          <w:rFonts w:ascii="宋体" w:hAnsi="宋体" w:eastAsia="宋体" w:cs="宋体"/>
          <w:color w:val="000000"/>
          <w:kern w:val="0"/>
          <w:sz w:val="28"/>
          <w:szCs w:val="28"/>
          <w:highlight w:val="none"/>
        </w:rPr>
        <w:t>10月</w:t>
      </w:r>
      <w:r>
        <w:rPr>
          <w:rFonts w:hint="eastAsia" w:ascii="宋体" w:hAnsi="宋体" w:eastAsia="宋体" w:cs="宋体"/>
          <w:color w:val="000000"/>
          <w:kern w:val="0"/>
          <w:sz w:val="28"/>
          <w:szCs w:val="28"/>
          <w:highlight w:val="none"/>
        </w:rPr>
        <w:t>第15个交易日之前（含该日）全部注销。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eastAsia="宋体" w:cs="宋体"/>
          <w:color w:val="000000"/>
          <w:kern w:val="0"/>
          <w:sz w:val="28"/>
          <w:szCs w:val="28"/>
          <w:highlight w:val="none"/>
        </w:rPr>
        <w:t>锰硅期货交割开具增值税专用发票。</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eastAsia="宋体" w:cs="宋体"/>
          <w:kern w:val="0"/>
          <w:sz w:val="28"/>
          <w:szCs w:val="28"/>
          <w:highlight w:val="none"/>
        </w:rPr>
        <w:t>锰硅期货仓库、厂库及相关升贴水由交易所确定并公布，交易所可以视情况对锰硅期货仓库、厂库及相关升贴水进行调整。</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eastAsia="宋体" w:cs="宋体"/>
          <w:color w:val="000000"/>
          <w:kern w:val="0"/>
          <w:sz w:val="28"/>
          <w:szCs w:val="28"/>
          <w:highlight w:val="none"/>
        </w:rPr>
        <w:t>锰硅期货的交割基准价为基准交割品在基准仓库出库时汽车板交货的含税价格（含包装）。</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eastAsia="宋体" w:cs="宋体"/>
          <w:kern w:val="0"/>
          <w:sz w:val="28"/>
          <w:szCs w:val="28"/>
          <w:highlight w:val="none"/>
        </w:rPr>
        <w:t>锰硅运达仓库指定货位前的一切费用和货物装到汽车板的出库费用由标准仓单注册人承担，货物出库装到汽车板后的一切费用由提货人承担。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宋体" w:hAnsi="宋体" w:eastAsia="宋体" w:cs="Times New Roman"/>
          <w:sz w:val="28"/>
          <w:szCs w:val="28"/>
          <w:highlight w:val="none"/>
        </w:rPr>
        <w:t>锰硅期货交割手续费、仓储费、出入库费及检验费、配合检验费等交割相关费用标准由交易所另行公布。</w:t>
      </w:r>
    </w:p>
    <w:p>
      <w:pPr>
        <w:tabs>
          <w:tab w:val="left" w:pos="1620"/>
        </w:tabs>
        <w:autoSpaceDE w:val="0"/>
        <w:autoSpaceDN w:val="0"/>
        <w:ind w:firstLine="560" w:firstLineChars="200"/>
        <w:rPr>
          <w:rFonts w:ascii="宋体" w:hAnsi="宋体" w:eastAsia="宋体" w:cs="Times New Roman"/>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eastAsia="宋体" w:cs="Times New Roman"/>
          <w:sz w:val="28"/>
          <w:szCs w:val="28"/>
          <w:highlight w:val="none"/>
        </w:rPr>
        <w:t>锰硅包装物价格包含在相应期货合约价格中，不另行计价。</w:t>
      </w:r>
    </w:p>
    <w:p>
      <w:pPr>
        <w:tabs>
          <w:tab w:val="left" w:pos="1620"/>
        </w:tabs>
        <w:autoSpaceDE w:val="0"/>
        <w:autoSpaceDN w:val="0"/>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eastAsia="宋体" w:cs="宋体"/>
          <w:kern w:val="0"/>
          <w:sz w:val="28"/>
          <w:szCs w:val="28"/>
          <w:highlight w:val="none"/>
        </w:rPr>
        <w:t>锰硅期货标准仓单生成、流通、注销等相关业务，本细则未规定的，适用《郑州商品交易所标准仓单管理办法》相关规定。</w:t>
      </w:r>
    </w:p>
    <w:p>
      <w:pPr>
        <w:tabs>
          <w:tab w:val="left" w:pos="1620"/>
        </w:tabs>
        <w:autoSpaceDE w:val="0"/>
        <w:autoSpaceDN w:val="0"/>
        <w:ind w:firstLine="562"/>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第二节 交割标准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eastAsia="宋体" w:cs="宋体"/>
          <w:kern w:val="0"/>
          <w:sz w:val="28"/>
          <w:szCs w:val="28"/>
          <w:highlight w:val="none"/>
        </w:rPr>
        <w:t>锰硅期货交割适用国家标准及本细则规定。</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第二十三</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kern w:val="0"/>
          <w:sz w:val="28"/>
          <w:szCs w:val="28"/>
          <w:highlight w:val="none"/>
        </w:rPr>
        <w:t>基准交割品:</w:t>
      </w:r>
      <w:r>
        <w:rPr>
          <w:rFonts w:hint="eastAsia" w:ascii="宋体" w:hAnsi="宋体" w:eastAsia="宋体" w:cs="宋体"/>
          <w:spacing w:val="-6"/>
          <w:kern w:val="0"/>
          <w:sz w:val="28"/>
          <w:szCs w:val="28"/>
          <w:highlight w:val="none"/>
        </w:rPr>
        <w:t xml:space="preserve"> 符合《中华人民共和国国家标准 锰硅合金》（</w:t>
      </w:r>
      <w:r>
        <w:rPr>
          <w:rFonts w:ascii="宋体" w:hAnsi="宋体" w:eastAsia="宋体" w:cs="宋体"/>
          <w:spacing w:val="-6"/>
          <w:kern w:val="0"/>
          <w:sz w:val="28"/>
          <w:szCs w:val="28"/>
          <w:highlight w:val="none"/>
        </w:rPr>
        <w:t>GB/T 4008—2008</w:t>
      </w:r>
      <w:r>
        <w:rPr>
          <w:rFonts w:hint="eastAsia" w:ascii="宋体" w:hAnsi="宋体" w:eastAsia="宋体" w:cs="宋体"/>
          <w:kern w:val="0"/>
          <w:sz w:val="28"/>
          <w:szCs w:val="28"/>
          <w:highlight w:val="none"/>
        </w:rPr>
        <w:t>）</w:t>
      </w:r>
      <w:r>
        <w:rPr>
          <w:rFonts w:ascii="宋体" w:hAnsi="宋体" w:eastAsia="宋体" w:cs="宋体"/>
          <w:spacing w:val="-6"/>
          <w:kern w:val="0"/>
          <w:sz w:val="28"/>
          <w:szCs w:val="28"/>
          <w:highlight w:val="none"/>
        </w:rPr>
        <w:t>规定牌号为FeMn68Si18（锰含量≥65.0%、硅含量≥17.0%、碳含量≤1.8%、磷含量≤0.25%、硫含量≤0.04%）、粒度为10-60mm</w:t>
      </w:r>
      <w:r>
        <w:rPr>
          <w:rFonts w:hint="eastAsia" w:ascii="宋体" w:hAnsi="宋体" w:eastAsia="宋体" w:cs="宋体"/>
          <w:spacing w:val="-6"/>
          <w:kern w:val="0"/>
          <w:sz w:val="28"/>
          <w:szCs w:val="28"/>
          <w:highlight w:val="none"/>
        </w:rPr>
        <w:t>的锰硅，其中：粒度偏差筛下物不大于5%，筛上物不大于8%</w:t>
      </w:r>
      <w:r>
        <w:rPr>
          <w:rFonts w:ascii="宋体" w:hAnsi="宋体" w:eastAsia="宋体" w:cs="宋体"/>
          <w:spacing w:val="-6"/>
          <w:kern w:val="0"/>
          <w:sz w:val="28"/>
          <w:szCs w:val="28"/>
          <w:highlight w:val="none"/>
        </w:rPr>
        <w:t>。</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宋体" w:eastAsia="宋体" w:cs="宋体"/>
          <w:kern w:val="0"/>
          <w:sz w:val="28"/>
          <w:szCs w:val="28"/>
          <w:highlight w:val="none"/>
        </w:rPr>
        <w:t>锰硅交割品包装物采用双层、中间加固拦腰围带的塑料编织袋。包装袋上应当标明产品名称、产品牌号、执行标准以及生产企业名称。在同一质检批次内，平均单包净重为1000±10公斤。</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锰硅交割品按照净重结算，包装物按照</w:t>
      </w:r>
      <w:r>
        <w:rPr>
          <w:rFonts w:ascii="宋体" w:hAnsi="宋体" w:eastAsia="宋体" w:cs="宋体"/>
          <w:kern w:val="0"/>
          <w:sz w:val="28"/>
          <w:szCs w:val="28"/>
          <w:highlight w:val="none"/>
        </w:rPr>
        <w:t>2公斤/条的标准扣除重量</w:t>
      </w:r>
      <w:r>
        <w:rPr>
          <w:rFonts w:hint="eastAsia" w:ascii="宋体" w:hAnsi="宋体" w:eastAsia="宋体" w:cs="宋体"/>
          <w:kern w:val="0"/>
          <w:sz w:val="28"/>
          <w:szCs w:val="28"/>
          <w:highlight w:val="none"/>
        </w:rPr>
        <w:t>。</w:t>
      </w:r>
    </w:p>
    <w:p>
      <w:pPr>
        <w:tabs>
          <w:tab w:val="left" w:pos="1620"/>
        </w:tabs>
        <w:autoSpaceDE w:val="0"/>
        <w:autoSpaceDN w:val="0"/>
        <w:jc w:val="center"/>
        <w:rPr>
          <w:rFonts w:ascii="宋体" w:hAnsi="宋体" w:eastAsia="宋体" w:cs="宋体"/>
          <w:b/>
          <w:color w:val="000000"/>
          <w:kern w:val="0"/>
          <w:sz w:val="28"/>
          <w:szCs w:val="28"/>
          <w:highlight w:val="none"/>
        </w:rPr>
      </w:pPr>
      <w:r>
        <w:rPr>
          <w:rFonts w:hint="eastAsia" w:ascii="宋体" w:hAnsi="宋体" w:eastAsia="宋体" w:cs="宋体"/>
          <w:b/>
          <w:color w:val="000000"/>
          <w:kern w:val="0"/>
          <w:sz w:val="28"/>
          <w:szCs w:val="28"/>
          <w:highlight w:val="none"/>
        </w:rPr>
        <w:t>第三节 仓库标准仓单交割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eastAsia="宋体" w:cs="宋体"/>
          <w:kern w:val="0"/>
          <w:sz w:val="28"/>
          <w:szCs w:val="28"/>
          <w:highlight w:val="none"/>
        </w:rPr>
        <w:t>锰硅期货交割预报时，应当按30元/吨向仓库交纳交割预报定金。</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宋体"/>
          <w:kern w:val="0"/>
          <w:sz w:val="28"/>
          <w:szCs w:val="28"/>
          <w:highlight w:val="none"/>
        </w:rPr>
        <w:t>仓库开具的锰硅《入库通知单》有效期为</w:t>
      </w:r>
      <w:r>
        <w:rPr>
          <w:rFonts w:ascii="宋体" w:hAnsi="宋体" w:eastAsia="宋体" w:cs="宋体"/>
          <w:kern w:val="0"/>
          <w:sz w:val="28"/>
          <w:szCs w:val="28"/>
          <w:highlight w:val="none"/>
        </w:rPr>
        <w:t>40</w:t>
      </w:r>
      <w:r>
        <w:rPr>
          <w:rFonts w:hint="eastAsia" w:ascii="宋体" w:hAnsi="宋体" w:eastAsia="宋体" w:cs="宋体"/>
          <w:kern w:val="0"/>
          <w:sz w:val="28"/>
          <w:szCs w:val="28"/>
          <w:highlight w:val="none"/>
        </w:rPr>
        <w:t>个日历日。</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eastAsia="宋体" w:cs="宋体"/>
          <w:kern w:val="0"/>
          <w:sz w:val="28"/>
          <w:szCs w:val="28"/>
          <w:highlight w:val="none"/>
        </w:rPr>
        <w:t>锰硅入库时，标准仓单注册人应当向仓库提交本批锰硅生产厂家出具的《质量证明书》。《质量证明书》应当注明生产厂家、生产（出厂）日期、适用的质量标准和该批产品的质量检验结果等信息。</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hAnsi="宋体" w:eastAsia="宋体" w:cs="宋体"/>
          <w:color w:val="000000"/>
          <w:kern w:val="0"/>
          <w:sz w:val="28"/>
          <w:szCs w:val="28"/>
          <w:highlight w:val="none"/>
        </w:rPr>
        <w:t>锰硅</w:t>
      </w:r>
      <w:r>
        <w:rPr>
          <w:rFonts w:hint="eastAsia" w:ascii="宋体" w:hAnsi="宋体" w:eastAsia="宋体" w:cs="宋体"/>
          <w:kern w:val="0"/>
          <w:sz w:val="28"/>
          <w:szCs w:val="28"/>
          <w:highlight w:val="none"/>
        </w:rPr>
        <w:t>生产（出厂）日期超过</w:t>
      </w:r>
      <w:r>
        <w:rPr>
          <w:rFonts w:ascii="宋体" w:hAnsi="宋体" w:eastAsia="宋体" w:cs="宋体"/>
          <w:kern w:val="0"/>
          <w:sz w:val="28"/>
          <w:szCs w:val="28"/>
          <w:highlight w:val="none"/>
        </w:rPr>
        <w:t>90</w:t>
      </w:r>
      <w:r>
        <w:rPr>
          <w:rFonts w:hint="eastAsia" w:ascii="宋体" w:hAnsi="宋体" w:eastAsia="宋体" w:cs="宋体"/>
          <w:kern w:val="0"/>
          <w:sz w:val="28"/>
          <w:szCs w:val="28"/>
          <w:highlight w:val="none"/>
        </w:rPr>
        <w:t>天</w:t>
      </w:r>
      <w:r>
        <w:rPr>
          <w:rFonts w:ascii="宋体" w:hAnsi="宋体" w:eastAsia="宋体" w:cs="宋体"/>
          <w:kern w:val="0"/>
          <w:sz w:val="28"/>
          <w:szCs w:val="28"/>
          <w:highlight w:val="none"/>
        </w:rPr>
        <w:t>的</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不得入库。</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eastAsia="宋体" w:cs="宋体"/>
          <w:kern w:val="0"/>
          <w:sz w:val="28"/>
          <w:szCs w:val="28"/>
          <w:highlight w:val="none"/>
        </w:rPr>
        <w:t>锰硅入库时，仓库对入库商品进行重量验收。锰硅重量验收采用过地磅方式进行。</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ascii="宋体" w:hAnsi="宋体" w:eastAsia="宋体" w:cs="宋体"/>
          <w:kern w:val="0"/>
          <w:sz w:val="28"/>
          <w:szCs w:val="28"/>
          <w:highlight w:val="none"/>
        </w:rPr>
        <w:t>入库锰硅的采样、制样、质量检验以及粒度检测由指定质检机构负责，按照有关国家标准执行，仓库应当予以协助，指定质检机构检验费用及仓库配合检验费用由标准仓单注册人承担。</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指定质检机构应当自完成采样之日起7个工作日内出具检验结果，并及时通知仓库。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标准仓单注册人或者仓库对入库质量检验结果有异议的，可以向交易所提出复检申请。具体流程按照《郑州商品交易所标准仓单管理办法》“仓库商品入库复检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宋体" w:hAnsi="宋体" w:eastAsia="宋体" w:cs="宋体"/>
          <w:color w:val="000000"/>
          <w:kern w:val="0"/>
          <w:sz w:val="28"/>
          <w:szCs w:val="28"/>
          <w:highlight w:val="none"/>
        </w:rPr>
        <w:t>锰硅入库时，包装物应当结实耐用，适宜储存。</w:t>
      </w:r>
      <w:r>
        <w:rPr>
          <w:rFonts w:hint="eastAsia" w:ascii="宋体" w:hAnsi="宋体" w:eastAsia="宋体" w:cs="宋体"/>
          <w:kern w:val="0"/>
          <w:sz w:val="28"/>
          <w:szCs w:val="28"/>
          <w:highlight w:val="none"/>
        </w:rPr>
        <w:t>包装物因采样损坏的，仓库应当按照相应国家标准重新灌包，所需包装物由标准仓单注册人提供，灌包费用由标准仓单注册人承担。</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eastAsia="宋体" w:cs="宋体"/>
          <w:kern w:val="0"/>
          <w:sz w:val="28"/>
          <w:szCs w:val="28"/>
          <w:highlight w:val="none"/>
        </w:rPr>
        <w:t>锰硅期货实行免检品牌制度。</w:t>
      </w:r>
      <w:r>
        <w:rPr>
          <w:rFonts w:hint="eastAsia" w:ascii="宋体" w:hAnsi="宋体" w:eastAsia="宋体" w:cs="宋体"/>
          <w:kern w:val="0"/>
          <w:sz w:val="28"/>
          <w:szCs w:val="32"/>
          <w:highlight w:val="none"/>
        </w:rPr>
        <w:t>免检品牌生产厂家直接申请入库的，入库锰硅质量可以免检；标准仓单注册人向交易所和仓库提交免检品牌生产厂家出具符合交易所要求的《产品质量责任承诺书》及相关材料的，入库锰硅质量可以免检。</w:t>
      </w:r>
      <w:r>
        <w:rPr>
          <w:rFonts w:hint="eastAsia" w:ascii="宋体" w:hAnsi="宋体" w:eastAsia="宋体" w:cs="宋体"/>
          <w:kern w:val="0"/>
          <w:sz w:val="28"/>
          <w:szCs w:val="28"/>
          <w:highlight w:val="none"/>
        </w:rPr>
        <w:t>锰硅免检品牌由交易所另行公告</w:t>
      </w:r>
      <w:r>
        <w:rPr>
          <w:rFonts w:ascii="宋体" w:hAnsi="宋体" w:eastAsia="宋体" w:cs="宋体"/>
          <w:kern w:val="0"/>
          <w:sz w:val="28"/>
          <w:szCs w:val="28"/>
          <w:highlight w:val="none"/>
        </w:rPr>
        <w:t>。</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eastAsia="宋体" w:cs="宋体"/>
          <w:kern w:val="0"/>
          <w:sz w:val="28"/>
          <w:szCs w:val="28"/>
          <w:highlight w:val="none"/>
        </w:rPr>
        <w:t>锰硅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锰硅入库后，仓库应当对标准仓单注册人的名称、联系人及联系方式、商品数量、生产厂家、存放库房及垛位等事项登记造册，并由仓单注册人签字确认。</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eastAsia="宋体" w:cs="宋体"/>
          <w:kern w:val="0"/>
          <w:sz w:val="28"/>
          <w:szCs w:val="28"/>
          <w:highlight w:val="none"/>
        </w:rPr>
        <w:t>锰硅仓库标准仓单注销后，提货人应当在交易所开具《提货通知单》之日起10</w:t>
      </w:r>
      <w:r>
        <w:rPr>
          <w:rFonts w:ascii="宋体" w:hAnsi="宋体" w:eastAsia="宋体" w:cs="宋体"/>
          <w:kern w:val="0"/>
          <w:sz w:val="28"/>
          <w:szCs w:val="28"/>
          <w:highlight w:val="none"/>
        </w:rPr>
        <w:t>个工作日内</w:t>
      </w:r>
      <w:r>
        <w:rPr>
          <w:rFonts w:hint="eastAsia" w:ascii="宋体" w:hAnsi="宋体" w:eastAsia="宋体" w:cs="宋体"/>
          <w:kern w:val="0"/>
          <w:sz w:val="28"/>
          <w:szCs w:val="28"/>
          <w:highlight w:val="none"/>
        </w:rPr>
        <w:t>，凭提货人身份证、提货人所在单位证明及《提货通知单》验证密码到仓库办理提货手续，确认商品质量、运输方式，并预交各项费用。</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第三十五</w:t>
      </w:r>
      <w:r>
        <w:rPr>
          <w:rFonts w:ascii="黑体" w:hAnsi="黑体" w:eastAsia="黑体" w:cs="宋体"/>
          <w:color w:val="000000"/>
          <w:kern w:val="0"/>
          <w:sz w:val="28"/>
          <w:szCs w:val="28"/>
          <w:highlight w:val="none"/>
        </w:rPr>
        <w:t>条</w:t>
      </w:r>
      <w:r>
        <w:rPr>
          <w:rFonts w:hint="eastAsia" w:ascii="黑体" w:hAnsi="黑体" w:eastAsia="黑体" w:cs="宋体"/>
          <w:color w:val="000000"/>
          <w:kern w:val="0"/>
          <w:sz w:val="28"/>
          <w:szCs w:val="28"/>
          <w:highlight w:val="none"/>
        </w:rPr>
        <w:t xml:space="preserve"> </w:t>
      </w:r>
      <w:r>
        <w:rPr>
          <w:rFonts w:hint="eastAsia" w:ascii="宋体" w:hAnsi="宋体" w:eastAsia="宋体" w:cs="宋体"/>
          <w:kern w:val="0"/>
          <w:sz w:val="28"/>
          <w:szCs w:val="28"/>
          <w:highlight w:val="none"/>
        </w:rPr>
        <w:t>锰硅出库重量验收由仓库和提货人共同实施，具体办法参照入库重量验收规定。</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锰硅出库时数量发生损耗造成短少的，仓库应当及时补足。不能及时补足的，仓库按照《提货通知单》开具日之前（含该日）锰硅期货最近交割月最高交割结算价核算短少商品价款，赔偿提货人。</w:t>
      </w:r>
    </w:p>
    <w:p>
      <w:pPr>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eastAsia="宋体" w:cs="宋体"/>
          <w:kern w:val="0"/>
          <w:sz w:val="28"/>
          <w:szCs w:val="28"/>
          <w:highlight w:val="none"/>
        </w:rPr>
        <w:t>锰硅出库时，提货人对商品质量有异议的，可以向交易所申请一次复检，并预交复检费用。</w:t>
      </w:r>
      <w:r>
        <w:rPr>
          <w:rFonts w:hint="eastAsia" w:ascii="宋体" w:hAnsi="宋体" w:eastAsia="宋体" w:cs="宋体"/>
          <w:color w:val="000000"/>
          <w:kern w:val="0"/>
          <w:sz w:val="28"/>
          <w:szCs w:val="28"/>
          <w:highlight w:val="none"/>
        </w:rPr>
        <w:t>质量异议应当在</w:t>
      </w:r>
      <w:r>
        <w:rPr>
          <w:rFonts w:hint="eastAsia" w:ascii="宋体" w:hAnsi="宋体" w:eastAsia="宋体" w:cs="宋体"/>
          <w:kern w:val="0"/>
          <w:sz w:val="28"/>
          <w:szCs w:val="28"/>
          <w:highlight w:val="none"/>
        </w:rPr>
        <w:t>《提货通知单》开具之日起10个工作日内</w:t>
      </w:r>
      <w:r>
        <w:rPr>
          <w:rFonts w:hint="eastAsia" w:ascii="宋体" w:hAnsi="宋体" w:eastAsia="宋体" w:cs="宋体"/>
          <w:color w:val="000000"/>
          <w:kern w:val="0"/>
          <w:sz w:val="28"/>
          <w:szCs w:val="28"/>
          <w:highlight w:val="none"/>
        </w:rPr>
        <w:t>提出。</w:t>
      </w:r>
      <w:r>
        <w:rPr>
          <w:rFonts w:hint="eastAsia" w:ascii="宋体" w:hAnsi="宋体" w:eastAsia="宋体" w:cs="宋体"/>
          <w:kern w:val="0"/>
          <w:sz w:val="28"/>
          <w:szCs w:val="28"/>
          <w:highlight w:val="none"/>
        </w:rPr>
        <w:t>具体流程按照《郑州商品交易所标准仓单管理办法》“仓库商品出库复检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eastAsia="宋体" w:cs="宋体"/>
          <w:kern w:val="0"/>
          <w:sz w:val="28"/>
          <w:szCs w:val="28"/>
          <w:highlight w:val="none"/>
        </w:rPr>
        <w:t>锰硅出库过程中，发现包装损坏、不适宜再次装卸及运输的，仓库应当免费提供包装物并重新灌包。</w:t>
      </w:r>
    </w:p>
    <w:p>
      <w:pPr>
        <w:tabs>
          <w:tab w:val="left" w:pos="1620"/>
        </w:tabs>
        <w:autoSpaceDE w:val="0"/>
        <w:autoSpaceDN w:val="0"/>
        <w:jc w:val="center"/>
        <w:rPr>
          <w:rFonts w:ascii="宋体" w:hAnsi="宋体" w:eastAsia="宋体" w:cs="宋体"/>
          <w:b/>
          <w:kern w:val="0"/>
          <w:sz w:val="28"/>
          <w:szCs w:val="28"/>
          <w:highlight w:val="none"/>
        </w:rPr>
      </w:pPr>
      <w:r>
        <w:rPr>
          <w:rFonts w:hint="eastAsia" w:ascii="宋体" w:hAnsi="宋体" w:eastAsia="宋体" w:cs="宋体"/>
          <w:b/>
          <w:kern w:val="0"/>
          <w:sz w:val="28"/>
          <w:szCs w:val="28"/>
          <w:highlight w:val="none"/>
        </w:rPr>
        <w:t>第四节 厂库标准仓单交割</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eastAsia="宋体" w:cs="宋体"/>
          <w:kern w:val="0"/>
          <w:sz w:val="28"/>
          <w:szCs w:val="28"/>
          <w:highlight w:val="none"/>
        </w:rPr>
        <w:t>锰硅厂库允许注册标准仓单的最大数量由交易所确定，交易所可以根据情况予以调整。</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锰硅厂库申请注册标准仓单前，应当按照交易所规定提供标准仓单注册担保。</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eastAsia="宋体" w:cs="宋体"/>
          <w:kern w:val="0"/>
          <w:sz w:val="28"/>
          <w:szCs w:val="28"/>
          <w:highlight w:val="none"/>
        </w:rPr>
        <w:t>锰硅厂库标准仓单的交货地点为提货人在厂库配送范围内选择的仓库，厂库配送范围由交易所另行公告。厂库应当承担锰硅运至买方车板前的相关费用，包括仓库收取的中转费用。仓库存在升贴水的，提货人与厂库可按照交易所规定的升贴水标准自行结算。</w:t>
      </w:r>
    </w:p>
    <w:p>
      <w:pPr>
        <w:ind w:firstLine="560" w:firstLineChars="200"/>
        <w:rPr>
          <w:rFonts w:ascii="宋体" w:hAnsi="宋体" w:eastAsia="宋体" w:cs="宋体"/>
          <w:dstrike/>
          <w:kern w:val="0"/>
          <w:sz w:val="28"/>
          <w:szCs w:val="28"/>
          <w:highlight w:val="none"/>
        </w:rPr>
      </w:pPr>
      <w:r>
        <w:rPr>
          <w:rFonts w:hint="eastAsia" w:ascii="宋体" w:hAnsi="宋体" w:eastAsia="宋体" w:cs="宋体"/>
          <w:kern w:val="0"/>
          <w:sz w:val="28"/>
          <w:szCs w:val="28"/>
          <w:highlight w:val="none"/>
        </w:rPr>
        <w:t>提货人和厂库协商一致的，可以在其他地点交货，具体交收事宜及相关费用由双方协商确定。</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eastAsia="宋体" w:cs="宋体"/>
          <w:kern w:val="0"/>
          <w:sz w:val="28"/>
          <w:szCs w:val="28"/>
          <w:highlight w:val="none"/>
        </w:rPr>
        <w:t>锰硅厂库标准仓单注销后，提货人应当在交易所开具《提货通知单》之日起20个工作日内，凭提货人身份证、提货人所在单位证明及《提货通知单》验证密码到厂库办理发货手续、确认商品质量、确定运输方式，并预交各项费用。</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eastAsia="宋体" w:cs="宋体"/>
          <w:kern w:val="0"/>
          <w:sz w:val="28"/>
          <w:szCs w:val="28"/>
          <w:highlight w:val="none"/>
        </w:rPr>
        <w:t>自提货人与厂库联系发货之日起</w:t>
      </w:r>
      <w:r>
        <w:rPr>
          <w:rFonts w:ascii="宋体" w:hAnsi="宋体" w:eastAsia="宋体" w:cs="宋体"/>
          <w:kern w:val="0"/>
          <w:sz w:val="28"/>
          <w:szCs w:val="28"/>
          <w:highlight w:val="none"/>
        </w:rPr>
        <w:t>3个工作日内，双方应当就相关事项达成发货协议，包括交货地点、运输方式、发货速度、费用承担等</w:t>
      </w:r>
      <w:r>
        <w:rPr>
          <w:rFonts w:hint="eastAsia" w:ascii="宋体" w:hAnsi="宋体" w:eastAsia="宋体" w:cs="宋体"/>
          <w:kern w:val="0"/>
          <w:sz w:val="28"/>
          <w:szCs w:val="28"/>
          <w:highlight w:val="none"/>
        </w:rPr>
        <w:t>。双方无法就发货速度协商一致的，厂库应当按照交易所批准的日发货速度发货。在仓库交货的，厂库、提货人应当及时与仓库联系，安排交收事宜。</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厂库采用汽车运输的，应当在达成发货协议之日起3个日历日内发货；采用火车、轮船运输的，应当在达成发货协议之日起15个日历日内发货。发货后，厂库应当将</w:t>
      </w:r>
      <w:r>
        <w:rPr>
          <w:rFonts w:hint="eastAsia" w:ascii="宋体" w:hAnsi="宋体" w:eastAsia="宋体" w:cs="宋体"/>
          <w:kern w:val="0"/>
          <w:sz w:val="28"/>
          <w:szCs w:val="32"/>
          <w:highlight w:val="none"/>
        </w:rPr>
        <w:t>相应单据</w:t>
      </w:r>
      <w:r>
        <w:rPr>
          <w:rFonts w:hint="eastAsia" w:ascii="宋体" w:hAnsi="宋体" w:eastAsia="宋体" w:cs="宋体"/>
          <w:kern w:val="0"/>
          <w:sz w:val="28"/>
          <w:szCs w:val="28"/>
          <w:highlight w:val="none"/>
        </w:rPr>
        <w:t>及时交付提货人及拟交货的仓库。</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提货人应当在每批货物运达交货仓库之日起（不含该日）3个日历日内完成货物验收、提货或者存储手续，逾期未提货产生的费用及质量责任由提货人自行承担。</w:t>
      </w:r>
    </w:p>
    <w:p>
      <w:pPr>
        <w:ind w:firstLine="560" w:firstLineChars="200"/>
        <w:rPr>
          <w:rFonts w:ascii="Times New Roman" w:hAnsi="Times New Roman" w:eastAsia="宋体" w:cs="Times New Roman"/>
          <w:sz w:val="28"/>
          <w:szCs w:val="28"/>
          <w:highlight w:val="none"/>
        </w:rPr>
      </w:pPr>
      <w:r>
        <w:rPr>
          <w:rFonts w:hint="eastAsia" w:ascii="宋体" w:hAnsi="宋体" w:eastAsia="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楷体" w:hAnsi="楷体" w:eastAsia="楷体" w:cs="宋体"/>
          <w:kern w:val="0"/>
          <w:sz w:val="24"/>
          <w:szCs w:val="24"/>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eastAsia="宋体" w:cs="宋体"/>
          <w:kern w:val="0"/>
          <w:sz w:val="28"/>
          <w:szCs w:val="32"/>
          <w:highlight w:val="none"/>
        </w:rPr>
        <w:t>锰硅在仓库交货的，</w:t>
      </w:r>
      <w:r>
        <w:rPr>
          <w:rFonts w:hint="eastAsia" w:ascii="宋体" w:hAnsi="宋体" w:eastAsia="宋体" w:cs="宋体"/>
          <w:kern w:val="0"/>
          <w:sz w:val="28"/>
          <w:szCs w:val="28"/>
          <w:highlight w:val="none"/>
        </w:rPr>
        <w:t>重量验收</w:t>
      </w:r>
      <w:r>
        <w:rPr>
          <w:rFonts w:hint="eastAsia" w:ascii="宋体" w:hAnsi="宋体" w:eastAsia="宋体" w:cs="宋体"/>
          <w:kern w:val="0"/>
          <w:sz w:val="28"/>
          <w:szCs w:val="32"/>
          <w:highlight w:val="none"/>
        </w:rPr>
        <w:t>由仓库实施，相关费用由厂库承担；在其他地点交货的，</w:t>
      </w:r>
      <w:r>
        <w:rPr>
          <w:rFonts w:hint="eastAsia" w:ascii="宋体" w:hAnsi="宋体" w:eastAsia="宋体" w:cs="宋体"/>
          <w:kern w:val="0"/>
          <w:sz w:val="28"/>
          <w:szCs w:val="28"/>
          <w:highlight w:val="none"/>
        </w:rPr>
        <w:t>重量验收方式</w:t>
      </w:r>
      <w:r>
        <w:rPr>
          <w:rFonts w:hint="eastAsia" w:ascii="宋体" w:hAnsi="宋体" w:eastAsia="宋体" w:cs="宋体"/>
          <w:kern w:val="0"/>
          <w:sz w:val="28"/>
          <w:szCs w:val="32"/>
          <w:highlight w:val="none"/>
        </w:rPr>
        <w:t>及费用分担由厂库与提货人协商确定。</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锰硅交货数量发生短少的，厂库应当及时补足。不能补足的，厂库按《提货通知单》开具日之前（含该日）锰硅期货最近交割月最高交割结算价核算短少商品价款，赔偿提货人。</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eastAsia="宋体" w:cs="宋体"/>
          <w:kern w:val="0"/>
          <w:sz w:val="28"/>
          <w:szCs w:val="32"/>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eastAsia="宋体" w:cs="宋体"/>
          <w:kern w:val="0"/>
          <w:sz w:val="28"/>
          <w:szCs w:val="32"/>
          <w:highlight w:val="none"/>
        </w:rPr>
        <w:t>厂库应当保证交割商品的质量符合交易所规定的交割标准，双方协商一致的除外。</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锰硅交货时，厂库应当向提货人提供符合交割标准</w:t>
      </w:r>
      <w:r>
        <w:rPr>
          <w:rFonts w:hint="eastAsia" w:ascii="Times New Roman" w:hAnsi="Times New Roman" w:eastAsia="宋体" w:cs="Times New Roman"/>
          <w:sz w:val="28"/>
          <w:szCs w:val="28"/>
          <w:highlight w:val="none"/>
        </w:rPr>
        <w:t>《产品质量证明书》。</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eastAsia="宋体" w:cs="宋体"/>
          <w:kern w:val="0"/>
          <w:sz w:val="28"/>
          <w:szCs w:val="28"/>
          <w:highlight w:val="none"/>
        </w:rPr>
        <w:t>提货人或者厂库</w:t>
      </w:r>
      <w:r>
        <w:rPr>
          <w:rFonts w:hint="eastAsia" w:ascii="宋体" w:hAnsi="宋体" w:eastAsia="宋体" w:cs="宋体"/>
          <w:color w:val="000000"/>
          <w:kern w:val="0"/>
          <w:sz w:val="28"/>
          <w:szCs w:val="28"/>
          <w:highlight w:val="none"/>
        </w:rPr>
        <w:t>对锰硅重量、质量有异议的，由</w:t>
      </w:r>
      <w:r>
        <w:rPr>
          <w:rFonts w:hint="eastAsia" w:ascii="宋体" w:hAnsi="宋体" w:eastAsia="宋体" w:cs="宋体"/>
          <w:kern w:val="0"/>
          <w:sz w:val="28"/>
          <w:szCs w:val="28"/>
          <w:highlight w:val="none"/>
        </w:rPr>
        <w:t>提货人</w:t>
      </w:r>
      <w:r>
        <w:rPr>
          <w:rFonts w:hint="eastAsia" w:ascii="宋体" w:hAnsi="宋体" w:eastAsia="宋体" w:cs="宋体"/>
          <w:color w:val="000000"/>
          <w:kern w:val="0"/>
          <w:sz w:val="28"/>
          <w:szCs w:val="28"/>
          <w:highlight w:val="none"/>
        </w:rPr>
        <w:t>和厂库协商解决；协商不成的，可以向交易所申请一次复检，并由申请方预交复检及相关费用。重量异议应当在锰硅交货前提出；质量异议应当在锰硅交货之日起5个工作日内提出。</w:t>
      </w:r>
      <w:r>
        <w:rPr>
          <w:rFonts w:hint="eastAsia" w:ascii="宋体" w:hAnsi="宋体" w:eastAsia="宋体" w:cs="宋体"/>
          <w:kern w:val="0"/>
          <w:sz w:val="28"/>
          <w:szCs w:val="28"/>
          <w:highlight w:val="none"/>
        </w:rPr>
        <w:t>具体流程按照《郑州商品交易所标准仓单管理办法》“厂库商品出库复检</w:t>
      </w:r>
      <w:r>
        <w:rPr>
          <w:rFonts w:ascii="宋体" w:hAnsi="宋体" w:eastAsia="宋体" w:cs="宋体"/>
          <w:kern w:val="0"/>
          <w:sz w:val="28"/>
          <w:szCs w:val="28"/>
          <w:highlight w:val="none"/>
        </w:rPr>
        <w:t>”</w:t>
      </w:r>
      <w:r>
        <w:rPr>
          <w:rFonts w:hint="eastAsia" w:ascii="宋体" w:hAnsi="宋体" w:eastAsia="宋体" w:cs="宋体"/>
          <w:kern w:val="0"/>
          <w:sz w:val="28"/>
          <w:szCs w:val="28"/>
          <w:highlight w:val="none"/>
        </w:rPr>
        <w:t>有关规定办理。</w:t>
      </w:r>
    </w:p>
    <w:p>
      <w:pPr>
        <w:ind w:firstLine="560" w:firstLineChars="200"/>
        <w:rPr>
          <w:rFonts w:ascii="宋体" w:hAnsi="宋体" w:eastAsia="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 xml:space="preserve">第四十五条 </w:t>
      </w:r>
      <w:r>
        <w:rPr>
          <w:rFonts w:hint="eastAsia" w:ascii="宋体" w:hAnsi="宋体" w:eastAsia="宋体" w:cs="宋体"/>
          <w:kern w:val="0"/>
          <w:sz w:val="28"/>
          <w:szCs w:val="28"/>
          <w:highlight w:val="none"/>
        </w:rPr>
        <w:t>厂库或者提货人因故不能按照约定计划发货或者提货的，双方应当及时协商并妥善调整发货速度或者发货计划，并且过错方应当支付滞纳金。滞纳金额=∑</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/吨•天）×延误天数×应发（收）而未发（收）商品数量]。</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因厂库原因在约定的最后发货日起5个日历日内仍不能完成所有商品发货的，提货人可以要求厂库终止发货并支付赔偿金。赔偿金额=锰硅期货最近交割月最高交割结算价×应发未发的商品数量×120%。</w:t>
      </w:r>
    </w:p>
    <w:p>
      <w:pPr>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eastAsia="宋体" w:cs="宋体"/>
          <w:kern w:val="0"/>
          <w:sz w:val="28"/>
          <w:szCs w:val="28"/>
          <w:highlight w:val="none"/>
        </w:rPr>
      </w:pPr>
      <w:r>
        <w:rPr>
          <w:rFonts w:hint="eastAsia" w:ascii="宋体" w:hAnsi="宋体" w:eastAsia="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eastAsia="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eastAsia="宋体" w:cs="宋体"/>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eastAsia="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eastAsia="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 xml:space="preserve">第四章 </w:t>
      </w:r>
      <w:r>
        <w:rPr>
          <w:rFonts w:ascii="黑体" w:hAnsi="黑体" w:eastAsia="黑体" w:cs="宋体"/>
          <w:color w:val="000000"/>
          <w:kern w:val="0"/>
          <w:sz w:val="30"/>
          <w:szCs w:val="30"/>
          <w:highlight w:val="none"/>
        </w:rPr>
        <w:t>风险管理</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第四十九条 </w:t>
      </w:r>
      <w:r>
        <w:rPr>
          <w:rFonts w:hint="eastAsia" w:ascii="宋体" w:hAnsi="宋体" w:eastAsia="宋体" w:cs="宋体"/>
          <w:color w:val="000000"/>
          <w:kern w:val="0"/>
          <w:sz w:val="28"/>
          <w:szCs w:val="28"/>
          <w:highlight w:val="none"/>
        </w:rPr>
        <w:t>锰硅期货合约最低交易保证金标准为合约价值的5%。</w:t>
      </w:r>
    </w:p>
    <w:p>
      <w:pPr>
        <w:tabs>
          <w:tab w:val="left" w:pos="1620"/>
        </w:tabs>
        <w:autoSpaceDE w:val="0"/>
        <w:autoSpaceDN w:val="0"/>
        <w:ind w:firstLine="560" w:firstLineChars="200"/>
        <w:jc w:val="left"/>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锰硅期货合约交易保证金标准见下表：</w:t>
      </w:r>
    </w:p>
    <w:tbl>
      <w:tblPr>
        <w:tblStyle w:val="6"/>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ind w:left="142" w:hanging="141" w:hangingChars="59"/>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交易时间段</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ascii="宋体" w:hAnsi="宋体" w:eastAsia="宋体" w:cs="宋体"/>
                <w:kern w:val="0"/>
                <w:sz w:val="24"/>
                <w:szCs w:val="24"/>
                <w:highlight w:val="none"/>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自合约挂牌至交割月前一个月第15个日历日期间的交易日</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自交割月前一个月第16个日历日至交割月前一个月最后一个日历日期间的交易日</w:t>
            </w:r>
          </w:p>
        </w:tc>
        <w:tc>
          <w:tcPr>
            <w:tcW w:w="2976" w:type="dxa"/>
            <w:noWrap w:val="0"/>
            <w:vAlign w:val="center"/>
          </w:tcPr>
          <w:p>
            <w:pPr>
              <w:tabs>
                <w:tab w:val="left" w:pos="1620"/>
              </w:tabs>
              <w:autoSpaceDE w:val="0"/>
              <w:autoSpaceDN w:val="0"/>
              <w:jc w:val="center"/>
              <w:rPr>
                <w:rFonts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noWrap w:val="0"/>
            <w:vAlign w:val="center"/>
          </w:tcPr>
          <w:p>
            <w:pPr>
              <w:tabs>
                <w:tab w:val="left" w:pos="1620"/>
              </w:tabs>
              <w:autoSpaceDE w:val="0"/>
              <w:autoSpaceDN w:val="0"/>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交割月份</w:t>
            </w:r>
          </w:p>
        </w:tc>
        <w:tc>
          <w:tcPr>
            <w:tcW w:w="2976" w:type="dxa"/>
            <w:noWrap w:val="0"/>
            <w:vAlign w:val="center"/>
          </w:tcPr>
          <w:p>
            <w:pPr>
              <w:tabs>
                <w:tab w:val="left" w:pos="1620"/>
              </w:tabs>
              <w:autoSpaceDE w:val="0"/>
              <w:autoSpaceDN w:val="0"/>
              <w:jc w:val="center"/>
              <w:rPr>
                <w:rFonts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合约价值的20%</w:t>
            </w:r>
          </w:p>
        </w:tc>
      </w:tr>
    </w:tbl>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eastAsia="宋体" w:cs="宋体"/>
          <w:kern w:val="0"/>
          <w:sz w:val="28"/>
          <w:szCs w:val="28"/>
          <w:highlight w:val="none"/>
        </w:rPr>
        <w:t>锰硅期货合约每日涨跌停板幅度为前一交易日结算价的±</w:t>
      </w:r>
      <w:r>
        <w:rPr>
          <w:rFonts w:ascii="宋体" w:hAnsi="宋体" w:eastAsia="宋体" w:cs="宋体"/>
          <w:kern w:val="0"/>
          <w:sz w:val="28"/>
          <w:szCs w:val="28"/>
          <w:highlight w:val="none"/>
        </w:rPr>
        <w:t>4%</w:t>
      </w:r>
      <w:r>
        <w:rPr>
          <w:rFonts w:hint="eastAsia" w:ascii="宋体" w:hAnsi="宋体" w:eastAsia="宋体" w:cs="宋体"/>
          <w:kern w:val="0"/>
          <w:sz w:val="28"/>
          <w:szCs w:val="28"/>
          <w:highlight w:val="none"/>
        </w:rPr>
        <w:t>。</w:t>
      </w:r>
    </w:p>
    <w:p>
      <w:pPr>
        <w:ind w:firstLine="560" w:firstLineChars="200"/>
        <w:rPr>
          <w:rFonts w:hint="eastAsia"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第五十一条 </w:t>
      </w:r>
      <w:r>
        <w:rPr>
          <w:rFonts w:hint="eastAsia" w:ascii="宋体" w:hAnsi="宋体" w:eastAsia="宋体" w:cs="宋体"/>
          <w:kern w:val="0"/>
          <w:sz w:val="28"/>
          <w:szCs w:val="28"/>
          <w:highlight w:val="none"/>
        </w:rPr>
        <w:t>锰硅</w:t>
      </w:r>
      <w:r>
        <w:rPr>
          <w:rFonts w:hint="eastAsia" w:ascii="宋体" w:hAnsi="宋体" w:eastAsia="宋体" w:cs="宋体"/>
          <w:color w:val="000000"/>
          <w:kern w:val="0"/>
          <w:sz w:val="28"/>
          <w:szCs w:val="28"/>
          <w:highlight w:val="none"/>
        </w:rPr>
        <w:t>期货合约限仓标准见下表：</w:t>
      </w:r>
    </w:p>
    <w:tbl>
      <w:tblPr>
        <w:tblStyle w:val="5"/>
        <w:tblW w:w="8505" w:type="dxa"/>
        <w:tblInd w:w="108" w:type="dxa"/>
        <w:shd w:val="clear" w:color="auto" w:fill="FFFFFF"/>
        <w:tblLayout w:type="autofit"/>
        <w:tblCellMar>
          <w:top w:w="15" w:type="dxa"/>
          <w:left w:w="15" w:type="dxa"/>
          <w:bottom w:w="15" w:type="dxa"/>
          <w:right w:w="15" w:type="dxa"/>
        </w:tblCellMar>
      </w:tblPr>
      <w:tblGrid>
        <w:gridCol w:w="3851"/>
        <w:gridCol w:w="4654"/>
      </w:tblGrid>
      <w:tr>
        <w:tblPrEx>
          <w:tblCellMar>
            <w:top w:w="15" w:type="dxa"/>
            <w:left w:w="15" w:type="dxa"/>
            <w:bottom w:w="15" w:type="dxa"/>
            <w:right w:w="15" w:type="dxa"/>
          </w:tblCellMar>
        </w:tblPrEx>
        <w:trPr>
          <w:trHeight w:val="317" w:hRule="atLeast"/>
        </w:trPr>
        <w:tc>
          <w:tcPr>
            <w:tcW w:w="3851"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ind w:left="142" w:hanging="141" w:hangingChars="59"/>
              <w:jc w:val="center"/>
              <w:rPr>
                <w:rFonts w:hint="default" w:ascii="宋体" w:hAnsi="宋体" w:eastAsia="宋体" w:cs="宋体"/>
                <w:kern w:val="0"/>
                <w:sz w:val="24"/>
                <w:szCs w:val="24"/>
                <w:highlight w:val="none"/>
              </w:rPr>
            </w:pPr>
            <w:r>
              <w:rPr>
                <w:rFonts w:hint="default" w:ascii="宋体" w:hAnsi="宋体" w:eastAsia="宋体" w:cs="宋体"/>
                <w:kern w:val="0"/>
                <w:sz w:val="24"/>
                <w:szCs w:val="24"/>
                <w:highlight w:val="none"/>
              </w:rPr>
              <w:t>交易时间段</w:t>
            </w:r>
          </w:p>
        </w:tc>
        <w:tc>
          <w:tcPr>
            <w:tcW w:w="4654"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ind w:left="142" w:hanging="141" w:hangingChars="59"/>
              <w:jc w:val="center"/>
              <w:rPr>
                <w:rFonts w:hint="default" w:ascii="宋体" w:hAnsi="宋体" w:eastAsia="宋体" w:cs="宋体"/>
                <w:kern w:val="0"/>
                <w:sz w:val="24"/>
                <w:szCs w:val="24"/>
                <w:highlight w:val="none"/>
              </w:rPr>
            </w:pPr>
            <w:r>
              <w:rPr>
                <w:rFonts w:hint="default" w:ascii="宋体" w:hAnsi="宋体" w:eastAsia="宋体" w:cs="宋体"/>
                <w:kern w:val="0"/>
                <w:sz w:val="24"/>
                <w:szCs w:val="24"/>
                <w:highlight w:val="none"/>
              </w:rPr>
              <w:t>非期货公司会员和客户的最大单边持仓量（手）</w:t>
            </w:r>
          </w:p>
        </w:tc>
      </w:tr>
      <w:tr>
        <w:tblPrEx>
          <w:tblCellMar>
            <w:top w:w="15" w:type="dxa"/>
            <w:left w:w="15" w:type="dxa"/>
            <w:bottom w:w="15" w:type="dxa"/>
            <w:right w:w="15" w:type="dxa"/>
          </w:tblCellMar>
        </w:tblPrEx>
        <w:trPr>
          <w:trHeight w:val="638" w:hRule="atLeast"/>
        </w:trPr>
        <w:tc>
          <w:tcPr>
            <w:tcW w:w="3851"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ind w:left="142" w:hanging="141" w:hangingChars="59"/>
              <w:jc w:val="center"/>
              <w:rPr>
                <w:rFonts w:hint="default" w:ascii="宋体" w:hAnsi="宋体" w:eastAsia="宋体" w:cs="宋体"/>
                <w:kern w:val="0"/>
                <w:sz w:val="24"/>
                <w:szCs w:val="24"/>
                <w:highlight w:val="none"/>
              </w:rPr>
            </w:pPr>
            <w:r>
              <w:rPr>
                <w:rFonts w:hint="default" w:ascii="宋体" w:hAnsi="宋体" w:eastAsia="宋体" w:cs="宋体"/>
                <w:kern w:val="0"/>
                <w:sz w:val="24"/>
                <w:szCs w:val="24"/>
                <w:highlight w:val="none"/>
              </w:rPr>
              <w:t>自合约挂牌至交割月前一个月第15个日历日期间的交易日</w:t>
            </w:r>
          </w:p>
        </w:tc>
        <w:tc>
          <w:tcPr>
            <w:tcW w:w="4654"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ind w:left="142" w:hanging="141" w:hangingChars="59"/>
              <w:jc w:val="center"/>
              <w:rPr>
                <w:rFonts w:hint="default" w:ascii="宋体" w:hAnsi="宋体" w:eastAsia="宋体" w:cs="宋体"/>
                <w:kern w:val="0"/>
                <w:sz w:val="24"/>
                <w:szCs w:val="24"/>
                <w:highlight w:val="none"/>
              </w:rPr>
            </w:pPr>
            <w:r>
              <w:rPr>
                <w:rFonts w:hint="default" w:ascii="宋体" w:hAnsi="宋体" w:eastAsia="宋体" w:cs="宋体"/>
                <w:kern w:val="0"/>
                <w:sz w:val="24"/>
                <w:szCs w:val="24"/>
                <w:highlight w:val="none"/>
              </w:rPr>
              <w:t>30000</w:t>
            </w:r>
          </w:p>
        </w:tc>
      </w:tr>
      <w:tr>
        <w:tblPrEx>
          <w:tblCellMar>
            <w:top w:w="15" w:type="dxa"/>
            <w:left w:w="15" w:type="dxa"/>
            <w:bottom w:w="15" w:type="dxa"/>
            <w:right w:w="15" w:type="dxa"/>
          </w:tblCellMar>
        </w:tblPrEx>
        <w:trPr>
          <w:trHeight w:val="837" w:hRule="atLeast"/>
        </w:trPr>
        <w:tc>
          <w:tcPr>
            <w:tcW w:w="3851"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ind w:left="142" w:hanging="141" w:hangingChars="59"/>
              <w:jc w:val="center"/>
              <w:rPr>
                <w:rFonts w:hint="default" w:ascii="宋体" w:hAnsi="宋体" w:eastAsia="宋体" w:cs="宋体"/>
                <w:kern w:val="0"/>
                <w:sz w:val="24"/>
                <w:szCs w:val="24"/>
                <w:highlight w:val="none"/>
              </w:rPr>
            </w:pPr>
            <w:r>
              <w:rPr>
                <w:rFonts w:hint="default" w:ascii="宋体" w:hAnsi="宋体" w:eastAsia="宋体" w:cs="宋体"/>
                <w:kern w:val="0"/>
                <w:sz w:val="24"/>
                <w:szCs w:val="24"/>
                <w:highlight w:val="none"/>
              </w:rPr>
              <w:t>自交割月前一个月第16个日历日至交割月前一个月最后一个日历日期间的交易日</w:t>
            </w:r>
          </w:p>
        </w:tc>
        <w:tc>
          <w:tcPr>
            <w:tcW w:w="4654"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ind w:left="142" w:hanging="141" w:hangingChars="59"/>
              <w:jc w:val="center"/>
              <w:rPr>
                <w:rFonts w:hint="default" w:ascii="宋体" w:hAnsi="宋体" w:eastAsia="宋体" w:cs="宋体"/>
                <w:kern w:val="0"/>
                <w:sz w:val="24"/>
                <w:szCs w:val="24"/>
                <w:highlight w:val="none"/>
              </w:rPr>
            </w:pPr>
            <w:r>
              <w:rPr>
                <w:rFonts w:hint="default" w:ascii="宋体" w:hAnsi="宋体" w:eastAsia="宋体" w:cs="宋体"/>
                <w:kern w:val="0"/>
                <w:sz w:val="24"/>
                <w:szCs w:val="24"/>
                <w:highlight w:val="none"/>
              </w:rPr>
              <w:t>5000</w:t>
            </w:r>
          </w:p>
        </w:tc>
      </w:tr>
      <w:tr>
        <w:tblPrEx>
          <w:tblCellMar>
            <w:top w:w="15" w:type="dxa"/>
            <w:left w:w="15" w:type="dxa"/>
            <w:bottom w:w="15" w:type="dxa"/>
            <w:right w:w="15" w:type="dxa"/>
          </w:tblCellMar>
        </w:tblPrEx>
        <w:trPr>
          <w:trHeight w:val="344" w:hRule="atLeast"/>
        </w:trPr>
        <w:tc>
          <w:tcPr>
            <w:tcW w:w="3851"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tabs>
                <w:tab w:val="left" w:pos="1620"/>
              </w:tabs>
              <w:autoSpaceDE w:val="0"/>
              <w:autoSpaceDN w:val="0"/>
              <w:ind w:left="142" w:hanging="141" w:hangingChars="59"/>
              <w:jc w:val="center"/>
              <w:rPr>
                <w:rFonts w:hint="default" w:ascii="宋体" w:hAnsi="宋体" w:eastAsia="宋体" w:cs="宋体"/>
                <w:kern w:val="0"/>
                <w:sz w:val="24"/>
                <w:szCs w:val="24"/>
                <w:highlight w:val="none"/>
              </w:rPr>
            </w:pPr>
            <w:r>
              <w:rPr>
                <w:rFonts w:hint="default" w:ascii="宋体" w:hAnsi="宋体" w:eastAsia="宋体" w:cs="宋体"/>
                <w:kern w:val="0"/>
                <w:sz w:val="24"/>
                <w:szCs w:val="24"/>
                <w:highlight w:val="none"/>
              </w:rPr>
              <w:t>交割月份</w:t>
            </w:r>
          </w:p>
        </w:tc>
        <w:tc>
          <w:tcPr>
            <w:tcW w:w="4654" w:type="dxa"/>
            <w:tcBorders>
              <w:top w:val="nil"/>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top"/>
          </w:tcPr>
          <w:p>
            <w:pPr>
              <w:tabs>
                <w:tab w:val="left" w:pos="1620"/>
              </w:tabs>
              <w:autoSpaceDE w:val="0"/>
              <w:autoSpaceDN w:val="0"/>
              <w:ind w:left="142" w:hanging="141" w:hangingChars="59"/>
              <w:jc w:val="center"/>
              <w:rPr>
                <w:rFonts w:hint="default" w:ascii="宋体" w:hAnsi="宋体" w:eastAsia="宋体" w:cs="宋体"/>
                <w:kern w:val="0"/>
                <w:sz w:val="24"/>
                <w:szCs w:val="24"/>
                <w:highlight w:val="none"/>
              </w:rPr>
            </w:pPr>
            <w:r>
              <w:rPr>
                <w:rFonts w:hint="default" w:ascii="宋体" w:hAnsi="宋体" w:eastAsia="宋体" w:cs="宋体"/>
                <w:kern w:val="0"/>
                <w:sz w:val="24"/>
                <w:szCs w:val="24"/>
                <w:highlight w:val="none"/>
              </w:rPr>
              <w:t>2000</w:t>
            </w:r>
          </w:p>
          <w:p>
            <w:pPr>
              <w:tabs>
                <w:tab w:val="left" w:pos="1620"/>
              </w:tabs>
              <w:autoSpaceDE w:val="0"/>
              <w:autoSpaceDN w:val="0"/>
              <w:ind w:left="142" w:hanging="141" w:hangingChars="59"/>
              <w:jc w:val="center"/>
              <w:rPr>
                <w:rFonts w:hint="default" w:ascii="宋体" w:hAnsi="宋体" w:eastAsia="宋体" w:cs="宋体"/>
                <w:kern w:val="0"/>
                <w:sz w:val="24"/>
                <w:szCs w:val="24"/>
                <w:highlight w:val="none"/>
              </w:rPr>
            </w:pPr>
            <w:r>
              <w:rPr>
                <w:rFonts w:hint="default" w:ascii="宋体" w:hAnsi="宋体" w:eastAsia="宋体" w:cs="宋体"/>
                <w:kern w:val="0"/>
                <w:sz w:val="24"/>
                <w:szCs w:val="24"/>
                <w:highlight w:val="none"/>
              </w:rPr>
              <w:t>（自然人客户最大单边持仓量为0）</w:t>
            </w:r>
          </w:p>
        </w:tc>
      </w:tr>
    </w:tbl>
    <w:p>
      <w:pPr>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第五十二条 </w:t>
      </w:r>
      <w:r>
        <w:rPr>
          <w:rFonts w:hint="eastAsia" w:ascii="宋体" w:hAnsi="宋体" w:eastAsia="宋体" w:cs="宋体"/>
          <w:color w:val="000000"/>
          <w:kern w:val="0"/>
          <w:sz w:val="28"/>
          <w:szCs w:val="28"/>
          <w:highlight w:val="none"/>
        </w:rPr>
        <w:t>根据《郑州商品交易所期货交易风险控制管理办法》等有关规定，交易所对锰硅期货合约交易保证金标准、涨跌停板幅度进行调整的，按照相关标准执行。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kern w:val="0"/>
          <w:sz w:val="28"/>
          <w:szCs w:val="32"/>
          <w:highlight w:val="none"/>
        </w:rPr>
        <w:t xml:space="preserve">第五十三条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第五十四条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第五十五条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hint="eastAsia" w:ascii="宋体" w:hAnsi="宋体" w:eastAsia="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第五十六条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w:t>
      </w:r>
      <w:r>
        <w:rPr>
          <w:rFonts w:hint="eastAsia" w:ascii="宋体" w:hAnsi="宋体" w:cs="宋体"/>
          <w:color w:val="000000"/>
          <w:kern w:val="0"/>
          <w:sz w:val="28"/>
          <w:szCs w:val="28"/>
          <w:highlight w:val="none"/>
          <w:lang w:val="en-US" w:eastAsia="zh-CN"/>
        </w:rPr>
        <w:t>11</w:t>
      </w:r>
      <w:r>
        <w:rPr>
          <w:rFonts w:hint="eastAsia" w:ascii="宋体" w:hAnsi="宋体" w:eastAsia="宋体" w:cs="宋体"/>
          <w:color w:val="000000"/>
          <w:kern w:val="0"/>
          <w:sz w:val="28"/>
          <w:szCs w:val="28"/>
          <w:highlight w:val="none"/>
          <w:lang w:val="en-US" w:eastAsia="zh-CN"/>
        </w:rPr>
        <w:t>月</w:t>
      </w:r>
      <w:r>
        <w:rPr>
          <w:rFonts w:hint="eastAsia" w:ascii="宋体" w:hAnsi="宋体" w:cs="宋体"/>
          <w:color w:val="000000"/>
          <w:kern w:val="0"/>
          <w:sz w:val="28"/>
          <w:szCs w:val="28"/>
          <w:highlight w:val="none"/>
          <w:lang w:val="en-US" w:eastAsia="zh-CN"/>
        </w:rPr>
        <w:t>7</w:t>
      </w:r>
      <w:r>
        <w:rPr>
          <w:rFonts w:hint="eastAsia" w:ascii="宋体" w:hAnsi="宋体" w:eastAsia="宋体" w:cs="宋体"/>
          <w:color w:val="000000"/>
          <w:kern w:val="0"/>
          <w:sz w:val="28"/>
          <w:szCs w:val="28"/>
          <w:highlight w:val="none"/>
          <w:lang w:val="en-US" w:eastAsia="zh-CN"/>
        </w:rPr>
        <w:t>日</w:t>
      </w:r>
      <w:r>
        <w:rPr>
          <w:rFonts w:hint="eastAsia" w:ascii="宋体" w:hAnsi="宋体" w:eastAsia="宋体" w:cs="宋体"/>
          <w:color w:val="000000"/>
          <w:kern w:val="0"/>
          <w:sz w:val="28"/>
          <w:szCs w:val="28"/>
          <w:highlight w:val="none"/>
        </w:rPr>
        <w:t>起施行。</w:t>
      </w:r>
    </w:p>
    <w:p>
      <w:pPr>
        <w:rPr>
          <w:rFonts w:ascii="仿宋" w:hAnsi="仿宋" w:eastAsia="仿宋"/>
          <w:sz w:val="32"/>
        </w:rPr>
      </w:pPr>
      <w:bookmarkStart w:id="0" w:name="_GoBack"/>
      <w:bookmarkEnd w:id="0"/>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D0594"/>
    <w:multiLevelType w:val="multilevel"/>
    <w:tmpl w:val="234D0594"/>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D951FEB"/>
    <w:rsid w:val="167396B7"/>
    <w:rsid w:val="17AD7A67"/>
    <w:rsid w:val="1D9EC0E4"/>
    <w:rsid w:val="3998203D"/>
    <w:rsid w:val="3ADF0F94"/>
    <w:rsid w:val="3FFDA71F"/>
    <w:rsid w:val="4D4B96AF"/>
    <w:rsid w:val="4EFFA964"/>
    <w:rsid w:val="55FDBEAF"/>
    <w:rsid w:val="57E57D60"/>
    <w:rsid w:val="5AD3D141"/>
    <w:rsid w:val="5BD34FF2"/>
    <w:rsid w:val="5C7BF285"/>
    <w:rsid w:val="5F6D5D4A"/>
    <w:rsid w:val="67CD5CF4"/>
    <w:rsid w:val="6E1B5024"/>
    <w:rsid w:val="78031D0F"/>
    <w:rsid w:val="79AD2A79"/>
    <w:rsid w:val="7B351E47"/>
    <w:rsid w:val="7D4FA5EE"/>
    <w:rsid w:val="7EFE287D"/>
    <w:rsid w:val="7F6304BB"/>
    <w:rsid w:val="A7DAA132"/>
    <w:rsid w:val="AFAFF778"/>
    <w:rsid w:val="B4EA0E53"/>
    <w:rsid w:val="BCFF3EB4"/>
    <w:rsid w:val="DBFD0DA2"/>
    <w:rsid w:val="DDBF5167"/>
    <w:rsid w:val="DDDFAD32"/>
    <w:rsid w:val="DFBF2860"/>
    <w:rsid w:val="F3FFC39C"/>
    <w:rsid w:val="F5FB6EC4"/>
    <w:rsid w:val="F7BB0F44"/>
    <w:rsid w:val="F9B61800"/>
    <w:rsid w:val="FBB6C4B4"/>
    <w:rsid w:val="FBDF6598"/>
    <w:rsid w:val="FDFF9E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table" w:customStyle="1" w:styleId="13">
    <w:name w:val="网格型1"/>
    <w:basedOn w:val="5"/>
    <w:qFormat/>
    <w:uiPriority w:val="59"/>
    <w:pPr>
      <w:jc w:val="both"/>
    </w:pPr>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2019-09-20T06:10:00Z</dcterms:created>
  <dc:creator>CN=李小鹏/OU=办公室/O=CZCE</dc:creator>
  <cp:lastModifiedBy>张雅杰</cp:lastModifiedBy>
  <dcterms:modified xsi:type="dcterms:W3CDTF">2024-11-04T15:32:22Z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1A74164DAFE84797BDB2CC6CAEE4BCD0</vt:lpwstr>
  </property>
</Properties>
</file>